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88R21112 SCP-F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Oliverson, Burrows, Jetton, Shaheen,</w:t>
      </w:r>
      <w:r xml:space="preserve">
        <w:tab wTab="150" tlc="none" cTlc="0"/>
      </w:r>
      <w:r>
        <w:t xml:space="preserve">H.B.</w:t>
      </w:r>
      <w:r xml:space="preserve">
        <w:t> </w:t>
      </w:r>
      <w:r>
        <w:t xml:space="preserve">No.</w:t>
      </w:r>
      <w:r xml:space="preserve">
        <w:t> </w:t>
      </w:r>
      <w:r>
        <w:t xml:space="preserve">2401</w:t>
      </w:r>
    </w:p>
    <w:p w:rsidR="003F3435" w:rsidRDefault="0032493E">
      <w:pPr>
        <w:jc w:val="both"/>
      </w:pPr>
      <w:r xml:space="preserve">
        <w:t> </w:t>
      </w:r>
      <w:r xml:space="preserve">
        <w:t> </w:t>
      </w:r>
      <w:r xml:space="preserve">
        <w:t> </w:t>
      </w:r>
      <w:r xml:space="preserve">
        <w:t> </w:t>
      </w:r>
      <w:r xml:space="preserve">
        <w:t> </w:t>
      </w:r>
      <w:r>
        <w:t xml:space="preserve">Noble, et al.</w:t>
      </w:r>
    </w:p>
    <w:p w:rsidR="003F3435" w:rsidRDefault="0032493E">
      <w:pPr>
        <w:spacing w:before="240" w:line="480" w:lineRule="auto"/>
        <w:jc w:val="both"/>
      </w:pPr>
      <w:r>
        <w:t xml:space="preserve">Substitute the following for</w:t>
      </w:r>
      <w:r xml:space="preserve">
        <w:t> </w:t>
      </w:r>
      <w:r>
        <w:t xml:space="preserve">H.B.</w:t>
      </w:r>
      <w:r xml:space="preserve">
        <w:t> </w:t>
      </w:r>
      <w:r>
        <w:t xml:space="preserve">No.</w:t>
      </w:r>
      <w:r xml:space="preserve">
        <w:t> </w:t>
      </w:r>
      <w:r>
        <w:t xml:space="preserve">2401:</w:t>
      </w:r>
    </w:p>
    <w:p w:rsidR="003F3435" w:rsidRDefault="0032493E">
      <w:pPr>
        <w:spacing w:line="480" w:lineRule="auto"/>
        <w:jc w:val="both"/>
        <w:tabs>
          <w:tab w:val="right" w:leader="none" w:pos="9350"/>
        </w:tabs>
      </w:pPr>
      <w:r>
        <w:t xml:space="preserve">By:</w:t>
      </w:r>
      <w:r xml:space="preserve">
        <w:t> </w:t>
      </w:r>
      <w:r xml:space="preserve">
        <w:t> </w:t>
      </w:r>
      <w:r>
        <w:t xml:space="preserve">Shaheen</w:t>
      </w:r>
      <w:r xml:space="preserve">
        <w:tab wTab="150" tlc="none" cTlc="0"/>
      </w:r>
      <w:r>
        <w:t xml:space="preserve">C.S.H.B.</w:t>
      </w:r>
      <w:r xml:space="preserve">
        <w:t> </w:t>
      </w:r>
      <w:r>
        <w:t xml:space="preserve">No.</w:t>
      </w:r>
      <w:r xml:space="preserve">
        <w:t> </w:t>
      </w:r>
      <w:r>
        <w:t xml:space="preserve">2401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repeal of certain contracting requirements under the Medicaid managed care delivery model.</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533.003(a), Government Code, is amended to read as follows:</w:t>
      </w:r>
    </w:p>
    <w:p w:rsidR="003F3435" w:rsidRDefault="0032493E">
      <w:pPr>
        <w:spacing w:line="480" w:lineRule="auto"/>
        <w:ind w:firstLine="720"/>
        <w:jc w:val="both"/>
      </w:pPr>
      <w:r>
        <w:t xml:space="preserve">(a)</w:t>
      </w:r>
      <w:r xml:space="preserve">
        <w:t> </w:t>
      </w:r>
      <w:r xml:space="preserve">
        <w:t> </w:t>
      </w:r>
      <w:r>
        <w:t xml:space="preserve">In awarding contracts to managed care organizations, the commission shall:</w:t>
      </w:r>
    </w:p>
    <w:p w:rsidR="003F3435" w:rsidRDefault="0032493E">
      <w:pPr>
        <w:spacing w:line="480" w:lineRule="auto"/>
        <w:ind w:firstLine="1440"/>
        <w:jc w:val="both"/>
      </w:pPr>
      <w:r>
        <w:t xml:space="preserve">(1)</w:t>
      </w:r>
      <w:r xml:space="preserve">
        <w:t> </w:t>
      </w:r>
      <w:r xml:space="preserve">
        <w:t> </w:t>
      </w:r>
      <w:r>
        <w:t xml:space="preserve">give preference to organizations that have significant participation in the organization's provider network from each health care provider in the region who has traditionally provided care to Medicaid and charity care patients;</w:t>
      </w:r>
    </w:p>
    <w:p w:rsidR="003F3435" w:rsidRDefault="0032493E">
      <w:pPr>
        <w:spacing w:line="480" w:lineRule="auto"/>
        <w:ind w:firstLine="1440"/>
        <w:jc w:val="both"/>
      </w:pPr>
      <w:r>
        <w:t xml:space="preserve">(2)</w:t>
      </w:r>
      <w:r xml:space="preserve">
        <w:t> </w:t>
      </w:r>
      <w:r xml:space="preserve">
        <w:t> </w:t>
      </w:r>
      <w:r>
        <w:t xml:space="preserve">give extra consideration to organizations that agree to assure continuity of care for at least three months beyond the period of Medicaid eligibility for recipients;</w:t>
      </w:r>
    </w:p>
    <w:p w:rsidR="003F3435" w:rsidRDefault="0032493E">
      <w:pPr>
        <w:spacing w:line="480" w:lineRule="auto"/>
        <w:ind w:firstLine="1440"/>
        <w:jc w:val="both"/>
      </w:pPr>
      <w:r>
        <w:t xml:space="preserve">(3)</w:t>
      </w:r>
      <w:r xml:space="preserve">
        <w:t> </w:t>
      </w:r>
      <w:r xml:space="preserve">
        <w:t> </w:t>
      </w:r>
      <w:r>
        <w:t xml:space="preserve">consider the need to use different managed care plans to meet the needs of different populations;</w:t>
      </w:r>
    </w:p>
    <w:p w:rsidR="003F3435" w:rsidRDefault="0032493E">
      <w:pPr>
        <w:spacing w:line="480" w:lineRule="auto"/>
        <w:ind w:firstLine="1440"/>
        <w:jc w:val="both"/>
      </w:pPr>
      <w:r>
        <w:t xml:space="preserve">(4)</w:t>
      </w:r>
      <w:r xml:space="preserve">
        <w:t> </w:t>
      </w:r>
      <w:r xml:space="preserve">
        <w:t> </w:t>
      </w:r>
      <w:r>
        <w:t xml:space="preserve">consider the ability of organizations to process Medicaid claims electronically; and</w:t>
      </w:r>
    </w:p>
    <w:p w:rsidR="003F3435" w:rsidRDefault="0032493E">
      <w:pPr>
        <w:spacing w:line="480" w:lineRule="auto"/>
        <w:ind w:firstLine="1440"/>
        <w:jc w:val="both"/>
      </w:pPr>
      <w:r>
        <w:t xml:space="preserve">(5)</w:t>
      </w:r>
      <w:r xml:space="preserve">
        <w:t> </w:t>
      </w:r>
      <w:r xml:space="preserve">
        <w:t> </w:t>
      </w:r>
      <w:r>
        <w:t xml:space="preserve">in the initial implementation of managed care in the South Texas service region, give extra consideration to an organization that [</w:t>
      </w:r>
      <w:r>
        <w:rPr>
          <w:strike/>
        </w:rPr>
        <w:t xml:space="preserve">either:</w:t>
      </w:r>
    </w:p>
    <w:p w:rsidR="003F3435" w:rsidRDefault="0032493E">
      <w:pPr>
        <w:spacing w:line="480" w:lineRule="auto"/>
        <w:ind w:firstLine="2160"/>
        <w:jc w:val="both"/>
      </w:pPr>
      <w:r>
        <w:t xml:space="preserve">[</w:t>
      </w:r>
      <w:r>
        <w:rPr>
          <w:strike/>
        </w:rPr>
        <w:t xml:space="preserve">(A)</w:t>
      </w:r>
      <w:r>
        <w:t xml:space="preserve">]</w:t>
      </w:r>
      <w:r xml:space="preserve">
        <w:t> </w:t>
      </w:r>
      <w:r xml:space="preserve">
        <w:t> </w:t>
      </w:r>
      <w:r>
        <w:t xml:space="preserve">is locally owned, managed, and operated, if one exists[</w:t>
      </w:r>
      <w:r>
        <w:rPr>
          <w:strike/>
        </w:rPr>
        <w:t xml:space="preserve">; or</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is in compliance with the requirements of Section 533.004</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533.004, Government Code, is repealed.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changes in law made by this Act apply only to a contract awarded by the Health and Human Services Commission that is fully executed and has not reached its operational start date on or after the effective date of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If before implementing any provision of this Act a state agency determines that a waiver or authorization from a federal agency is necessary for implementation of that provision, the agency affected by the provision shall request the waiver or authorization and may delay implementing that provision until the waiver or authorization is granted.</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2401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