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2023S0042-1  01/20/23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2401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certain contracting requirements under the Medicaid managed care delivery model.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organizations that have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organizations that agree to assure continuity of care for at least three months beyond the period of Medicaid eligibility for recipients;</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w:t>
      </w:r>
    </w:p>
    <w:p w:rsidR="003F3435" w:rsidRDefault="0032493E">
      <w:pPr>
        <w:spacing w:line="480" w:lineRule="auto"/>
        <w:ind w:firstLine="1440"/>
        <w:jc w:val="both"/>
      </w:pPr>
      <w:r>
        <w:t xml:space="preserve">(4)</w:t>
      </w:r>
      <w:r xml:space="preserve">
        <w:t> </w:t>
      </w:r>
      <w:r xml:space="preserve">
        <w:t> </w:t>
      </w:r>
      <w:r>
        <w:t xml:space="preserve">consider the ability of organizations to process Medicaid claims electronically; and</w:t>
      </w:r>
    </w:p>
    <w:p w:rsidR="003F3435" w:rsidRDefault="0032493E">
      <w:pPr>
        <w:spacing w:line="480" w:lineRule="auto"/>
        <w:ind w:firstLine="1440"/>
        <w:jc w:val="both"/>
      </w:pPr>
      <w:r>
        <w:t xml:space="preserve">(5)</w:t>
      </w:r>
      <w:r xml:space="preserve">
        <w:t> </w:t>
      </w:r>
      <w:r xml:space="preserve">
        <w:t> </w:t>
      </w:r>
      <w:r>
        <w:t xml:space="preserve">in the initial implementation of managed care in the South Texas service region, give extra consideration to an organization that [</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locally owned, managed, and operated, if one exists[</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in compliance with the requirements of Section 533.004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contracts by the Health and Human Services Commission that are fully executed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