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88R6515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Health Insurance Mandate Advisory Review Center;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Insurance Code, is amended by adding Subchapter J to read as follows:</w:t>
      </w:r>
    </w:p>
    <w:p w:rsidR="003F3435" w:rsidRDefault="0032493E">
      <w:pPr>
        <w:spacing w:line="480" w:lineRule="auto"/>
        <w:jc w:val="center"/>
      </w:pPr>
      <w:r>
        <w:rPr>
          <w:u w:val="single"/>
        </w:rPr>
        <w:t xml:space="preserve">SUBCHAPTER J. TEXAS HEALTH INSURANCE MANDATE ADVISORY REVIEW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"Enrollee" means an individual who is enrolled in a health benefit plan, including a covered dependent.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 issuer" means an insurer, health maintenance organization, or other entity authorized to provide health benefits coverage under the laws of this state, including a Medicaid managed care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 physician, facility, or other person who is licensed, certified, registered, or otherwise authorized to provide a health care service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service" means a service, procedure, drug, or device to diagnose, prevent, alleviate, cure, or heal a human disease, injury, or unhealthy or abnormal physical or mental condition, including a service, procedure, drug, or device related to pregnancy or delivery.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"Mandate" means a provision of a bill or joint resolution that requires a health benefit plan issuer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coverage for a health care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or decrease payments to health care providers for a health care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 a new contractual or administrative requirement.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"Mandate review center" means the Texas Health Insurance Mandate Advisory Review Center established under Section 38.452.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38.452.</w:t>
      </w:r>
      <w:r>
        <w:rPr>
          <w:u w:val="single"/>
        </w:rPr>
        <w:t xml:space="preserve"> </w:t>
      </w:r>
      <w:r>
        <w:rPr>
          <w:u w:val="single"/>
        </w:rPr>
        <w:t xml:space="preserve"> </w:t>
      </w:r>
      <w:r>
        <w:rPr>
          <w:u w:val="single"/>
        </w:rPr>
        <w:t xml:space="preserve">ESTABLISHMENT OF MANDATE REVIEW CENTER.  The Center for Healthcare Data at The University of Texas Health Science Center at Houston shall establish the Texas Health Insurance Mandate Advisory Review Center to prepare analyses of bills and joint resolutions that would impose new mandates on health benefit plan issuers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38.453.</w:t>
      </w:r>
      <w:r>
        <w:rPr>
          <w:u w:val="single"/>
        </w:rPr>
        <w:t xml:space="preserve"> </w:t>
      </w:r>
      <w:r>
        <w:rPr>
          <w:u w:val="single"/>
        </w:rPr>
        <w:t xml:space="preserve"> </w:t>
      </w:r>
      <w:r>
        <w:rPr>
          <w:u w:val="single"/>
        </w:rPr>
        <w:t xml:space="preserve">REQUEST FOR ANALYSIS OF MANDATE.  (a) </w:t>
      </w:r>
      <w:r>
        <w:rPr>
          <w:u w:val="single"/>
        </w:rPr>
        <w:t xml:space="preserve"> </w:t>
      </w:r>
      <w:r>
        <w:rPr>
          <w:u w:val="single"/>
        </w:rPr>
        <w:t xml:space="preserve">Regardless of whether the legislature is in session, the lieutenant governor, the speaker of the house of representatives, or the chair of the appropriate committee in either house of the legislature may submit a request to the mandate review center to prepare and develop an analysis of a proposed or enacted bill or joint resolution that imposes a new mandate on health benefit plan issuers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submitted under this section must include a draft of the bill or joint resolution prepared by the Texas Legislative Council or a copy of an act of the Texas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38.454.</w:t>
      </w:r>
      <w:r>
        <w:rPr>
          <w:u w:val="single"/>
        </w:rPr>
        <w:t xml:space="preserve"> </w:t>
      </w:r>
      <w:r>
        <w:rPr>
          <w:u w:val="single"/>
        </w:rPr>
        <w:t xml:space="preserve"> </w:t>
      </w:r>
      <w:r>
        <w:rPr>
          <w:u w:val="single"/>
        </w:rPr>
        <w:t xml:space="preserve">ANALYSIS OF MANDATE.  (a) </w:t>
      </w:r>
      <w:r>
        <w:rPr>
          <w:u w:val="single"/>
        </w:rPr>
        <w:t xml:space="preserve"> </w:t>
      </w:r>
      <w:r>
        <w:rPr>
          <w:u w:val="single"/>
        </w:rPr>
        <w:t xml:space="preserve">On receiving a request under Section 38.453, the mandate review center shall conduct an analysis of, as applicable, the extent to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mandate has increased or decreased or is expected to increase or decrease total spending in this state for any relevant health care service, including the estimated dollar amount of that increase or decrease;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mandate has increased or is expected to increase the utilization of any relevant health care service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mandate has increased or decreased or is expected to increase or decrease administrative expenses of health benefit plan issuers and expenses of enrollees, plan sponsors, and policyholders;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mandate has increased or decreased or is expected to increase or decrease the total spending by all persons in the private sector, by public sector entities, including state or local retirement systems and political subdivisions, and individuals purchasing individual health insurance or health benefit plan coverage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coverage for any relevant health care service is or was, without the mandate, generally available or utilized;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relevant health care service is supported by medical and scientific evidence,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determinations made by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coverage determinations made by the Centers for Medicare and Medicaid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determinations made by the United States Preventive Services Task Force;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nationally recognized clinical practice guidelines.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analysis under this section, the mandate review center may consult with persons with relevant knowledge and expertise.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38.455.</w:t>
      </w:r>
      <w:r>
        <w:rPr>
          <w:u w:val="single"/>
        </w:rPr>
        <w:t xml:space="preserve"> </w:t>
      </w:r>
      <w:r>
        <w:rPr>
          <w:u w:val="single"/>
        </w:rPr>
        <w:t xml:space="preserve"> </w:t>
      </w:r>
      <w:r>
        <w:rPr>
          <w:u w:val="single"/>
        </w:rPr>
        <w:t xml:space="preserve">REPORT.  Not later than 60 days after receiving a request under Section 38.453, the mandate review center shall prepare a written report containing the results of the analysis performed under Section 38.454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 the report to the lieutenant governor, the speaker of the house of representatives, and the appropriate committees in each house of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available on a generally accessible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38.456.</w:t>
      </w:r>
      <w:r>
        <w:rPr>
          <w:u w:val="single"/>
        </w:rPr>
        <w:t xml:space="preserve"> </w:t>
      </w:r>
      <w:r>
        <w:rPr>
          <w:u w:val="single"/>
        </w:rPr>
        <w:t xml:space="preserve"> </w:t>
      </w:r>
      <w:r>
        <w:rPr>
          <w:u w:val="single"/>
        </w:rPr>
        <w:t xml:space="preserve">FUNDING OF MANDATE REVIEW CENTER; FEE. </w:t>
      </w:r>
      <w:r>
        <w:rPr>
          <w:u w:val="single"/>
        </w:rPr>
        <w:t xml:space="preserve"> </w:t>
      </w:r>
      <w:r>
        <w:rPr>
          <w:u w:val="single"/>
        </w:rPr>
        <w:t xml:space="preserve">(a) </w:t>
      </w:r>
      <w:r>
        <w:rPr>
          <w:u w:val="single"/>
        </w:rPr>
        <w:t xml:space="preserve"> </w:t>
      </w:r>
      <w:r>
        <w:rPr>
          <w:u w:val="single"/>
        </w:rPr>
        <w:t xml:space="preserve">The department shall assess an annual fee on each health benefit plan issuer other than an issuer operating solely as a Medicaid managed care organization in the amount necessary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mandate review center shall develop an annual cost estimate of the amount necessary to fund the actual and necessary expenses of implementing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in consultation with the mandate review center: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amount of the fee assessed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adjust the amount of the fee assessed under this section for each state fiscal biennium to address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estimated increase in costs to implement this subchapter;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deficits incurred during the preceding year as a result of implementing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of each year, a health benefit plan issuer shall pay the fee assessed under this section to the department.  The legislature may appropriate money received under this section only to The University of Texas Health Science Center at Houston to be used by the Center for Healthcare Data to administer the center's duties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Center for Healthcare Data at The University of Texas Health Science Center at Houston shall establish the Texas Health Insurance Mandate Advisory Review Center as required by Section 38.452,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commissioner of insurance shall adopt rules as required by Section 38.456, Insurance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