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88R4789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2409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residential and commercial building codes of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214.212(a)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International Residential Code, as it existed on May 1, </w:t>
      </w:r>
      <w:r>
        <w:rPr>
          <w:u w:val="single"/>
        </w:rPr>
        <w:t xml:space="preserve">2021</w:t>
      </w:r>
      <w:r>
        <w:t xml:space="preserve"> [</w:t>
      </w:r>
      <w:r>
        <w:rPr>
          <w:strike/>
        </w:rPr>
        <w:t xml:space="preserve">2012</w:t>
      </w:r>
      <w:r>
        <w:t xml:space="preserve">], is adopted as a municipal residential building code in this state.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Residential Code after May 1, </w:t>
      </w:r>
      <w:r>
        <w:rPr>
          <w:u w:val="single"/>
        </w:rPr>
        <w:t xml:space="preserve">2021</w:t>
      </w:r>
      <w:r>
        <w:t xml:space="preserve"> [</w:t>
      </w:r>
      <w:r>
        <w:rPr>
          <w:strike/>
        </w:rPr>
        <w:t xml:space="preserve">2012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214.216(a) and (d),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To protect the public health, safety, and welfare, the International Building Code, as it existed on May 1, </w:t>
      </w:r>
      <w:r>
        <w:rPr>
          <w:u w:val="single"/>
        </w:rPr>
        <w:t xml:space="preserve">2021</w:t>
      </w:r>
      <w:r>
        <w:t xml:space="preserve"> [</w:t>
      </w:r>
      <w:r>
        <w:rPr>
          <w:strike/>
        </w:rPr>
        <w:t xml:space="preserve">2012</w:t>
      </w:r>
      <w:r>
        <w:t xml:space="preserve">], is adopted as a municipal commercial building code in this state.</w:t>
      </w:r>
    </w:p>
    <w:p w:rsidR="003F3435" w:rsidRDefault="0032493E">
      <w:pPr>
        <w:spacing w:line="480" w:lineRule="auto"/>
        <w:ind w:firstLine="720"/>
        <w:jc w:val="both"/>
      </w:pPr>
      <w:r>
        <w:t xml:space="preserve">(d)</w:t>
      </w:r>
      <w:r xml:space="preserve">
        <w:t> </w:t>
      </w:r>
      <w:r xml:space="preserve">
        <w:t> </w:t>
      </w:r>
      <w:r>
        <w:t xml:space="preserve">A municipality may review and consider amendments made by the International Code Council to the International Building Code after May 1, </w:t>
      </w:r>
      <w:r>
        <w:rPr>
          <w:u w:val="single"/>
        </w:rPr>
        <w:t xml:space="preserve">2021</w:t>
      </w:r>
      <w:r>
        <w:t xml:space="preserve"> [</w:t>
      </w:r>
      <w:r>
        <w:rPr>
          <w:strike/>
        </w:rPr>
        <w:t xml:space="preserve">2012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Sections 214.212 and 214.216, Local Government Code, as amended by this Act, apply only to residential or commercial construction, remodeling, alteration, enlargement, or repair that begins under an agreement made on or after January 1, 2024, or that begins, in the absence of an agreement, on or after that date. </w:t>
      </w:r>
      <w:r>
        <w:t xml:space="preserve"> </w:t>
      </w:r>
      <w:r>
        <w:t xml:space="preserve">Residential or commercial construction, remodeling, alteration, enlargement, or repair that begins under an agreement made before January 1, 2024, or that begins, in the absence of an agreement, before that date is governed by the law in effect when the agreement was made or the activity began, as appropriate,</w:t>
      </w:r>
      <w:r xml:space="preserve">
        <w:t> </w:t>
      </w:r>
      <w:r>
        <w:t xml:space="preserve">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December 1, 2023, municipalities shall establish rules and take other necessary actions to implement Sections 214.212 and 214.216, Local Government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