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88R7024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repossession of a motor vehicle after default on a motor vehicle title loan.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393, Finance Code, is amended by adding Subchapter G-1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G-1. </w:t>
      </w:r>
      <w:r>
        <w:rPr>
          <w:u w:val="single"/>
        </w:rPr>
        <w:t xml:space="preserve"> </w:t>
      </w:r>
      <w:r>
        <w:rPr>
          <w:u w:val="single"/>
        </w:rPr>
        <w:t xml:space="preserve">REPOSSESSION OF MOTOR VEHICLE AFTER DEFAULT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393.651.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subchapter, "credit access business" and "motor vehicle title loan"</w:t>
      </w:r>
      <w:r>
        <w:rPr>
          <w:u w:val="single"/>
        </w:rPr>
        <w:t xml:space="preserve"> </w:t>
      </w:r>
      <w:r>
        <w:rPr>
          <w:u w:val="single"/>
        </w:rPr>
        <w:t xml:space="preserve">have the meanings assigned by Section 393.601.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393.652.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motor vehicle title loan that a credit access business obtained for a consumer or assisted a consumer in obtaining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393.653.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RESTRICTION ON COLLECTION OF DEFICIENCY BALANCE AFTER REPOSSESSION SALE.  Notwithstanding any other law, a credit access business or other person who repossesses a motor vehicle given as security for a motor vehicle title loan after a default under the loan may not collect from the consumer any deficiency resulting from the sale of the vehicle unless, before the vehicle is repossessed, the consumer: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damages the vehicle;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wrongfully fails, after default and demand, to make the vehicle available to the lender or other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motor vehicle title loan entered into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