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creation of the gulf coast protection account to be administered by the General Land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31, Natural Resources Code, is amended by adding Section 31.070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w:t>
      </w:r>
      <w:r>
        <w:rPr>
          <w:u w:val="single"/>
        </w:rPr>
        <w:t xml:space="preserve"> </w:t>
      </w:r>
      <w:r>
        <w:rPr>
          <w:u w:val="single"/>
        </w:rPr>
        <w:t xml:space="preserve"> </w:t>
      </w:r>
      <w:r>
        <w:rPr>
          <w:u w:val="single"/>
        </w:rPr>
        <w:t xml:space="preserve">GULF COAST PROTECTION ACCOUNT.  (a) </w:t>
      </w:r>
      <w:r>
        <w:rPr>
          <w:u w:val="single"/>
        </w:rPr>
        <w:t xml:space="preserve"> </w:t>
      </w:r>
      <w:r>
        <w:rPr>
          <w:u w:val="single"/>
        </w:rPr>
        <w:t xml:space="preserve">The gulf coast protection account is a dedicated account in the general revenue fund administered by the land office under this section and rules adopted by the land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gulf coast protection account consists of money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donations, and grants, including federal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credited, or transferred to the account by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land office shall deposit to the credit of the gulf coast protection account any federal money received by the state for the protection of the gulf coast, to the extent permitted by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gulf coast protection account may be used only to pay for expenditures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eligible for credit towards the non-federal match of the Coastal Texas Protection and Restoration Feasibility Study Final Integrated Feasibility Report and Environmental Impact Statement issued by the Galveston District, Southwestern Division, of the United States Army Corps of Engineers;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terms of a local cooperation agreement executed by the land office and the Gulf Coast Protection District established under Chapter 9502, Special District Local Laws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for projects that are necessary or useful for the protection of the portion of the gulf coast located within the territory of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finds that the expenditure of money in the gulf coast protection account in accordance with Subsection (d) serves a public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expenditure of money in the gulf coast protection account is subject to audit by the state auditor.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2416 was passed by the House on April 18, 2023, by the following vote:</w:t>
      </w:r>
      <w:r xml:space="preserve">
        <w:t> </w:t>
      </w:r>
      <w:r xml:space="preserve">
        <w:t> </w:t>
      </w:r>
      <w:r>
        <w:t xml:space="preserve">Yeas 140, Nays 6, 1 present, not voting; and that the House concurred in Senate amendments to H.B. No. 2416 on May 24, 2023, by the following vote:</w:t>
      </w:r>
      <w:r xml:space="preserve">
        <w:t> </w:t>
      </w:r>
      <w:r xml:space="preserve">
        <w:t> </w:t>
      </w:r>
      <w:r>
        <w:t xml:space="preserve">Yeas 142,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2416 was passed by the Senate, with amendments, on May 18,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