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88R12153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providing a person taken into custody for emergency detention with information concerning the person's rights.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573.001(g),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 peace officer who takes a person into custody under Subsection (a) shall immediately inform the person orally in simple, nontechnical terms: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of the reason for the detention;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of the warning described by Section 2(a), Article 38.22, Code of Criminal Procedure;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that a staff member of the facility will inform the person of the person's rights </w:t>
      </w:r>
      <w:r>
        <w:rPr>
          <w:u w:val="single"/>
        </w:rPr>
        <w:t xml:space="preserve">at</w:t>
      </w:r>
      <w:r>
        <w:t xml:space="preserve"> [</w:t>
      </w:r>
      <w:r>
        <w:rPr>
          <w:strike/>
        </w:rPr>
        <w:t xml:space="preserve">within 24 hours after</w:t>
      </w:r>
      <w:r>
        <w:t xml:space="preserve">] the time the person is admitted to a facility </w:t>
      </w:r>
      <w:r>
        <w:rPr>
          <w:u w:val="single"/>
        </w:rPr>
        <w:t xml:space="preserve">and before questioning, assessing, or examining the person</w:t>
      </w:r>
      <w:r>
        <w:t xml:space="preserve">, as provided by Section 573.025(b).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573.025(b),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apprehended, detained, or transported for emergency detention under this subtitle shall be informed of the rights provided by this section and this subtitle: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orally in simple, nontechnical terms, </w:t>
      </w:r>
      <w:r>
        <w:rPr>
          <w:u w:val="single"/>
        </w:rPr>
        <w:t xml:space="preserve">at</w:t>
      </w:r>
      <w:r>
        <w:t xml:space="preserve"> [</w:t>
      </w:r>
      <w:r>
        <w:rPr>
          <w:strike/>
        </w:rPr>
        <w:t xml:space="preserve">within 24 hours after</w:t>
      </w:r>
      <w:r>
        <w:t xml:space="preserve">] the time the person is admitted to a facility </w:t>
      </w:r>
      <w:r>
        <w:rPr>
          <w:u w:val="single"/>
        </w:rPr>
        <w:t xml:space="preserve">and before the person is questioned, assessed, or examined</w:t>
      </w:r>
      <w:r>
        <w:t xml:space="preserve">, and in writing in the person's primary language if possible;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through the use of a means reasonably calculated to communicate with a hearing or visually impaired person, if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