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88R8736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2422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tools and equipment of skilled trade workers for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151.360.</w:t>
      </w:r>
      <w:r>
        <w:rPr>
          <w:u w:val="single"/>
        </w:rPr>
        <w:t xml:space="preserve"> </w:t>
      </w:r>
      <w:r>
        <w:rPr>
          <w:u w:val="single"/>
        </w:rPr>
        <w:t xml:space="preserve"> </w:t>
      </w:r>
      <w:r>
        <w:rPr>
          <w:u w:val="single"/>
        </w:rPr>
        <w:t xml:space="preserve">TOOLS AND EQUIPMENT OF SKILLED TRADE WORKERS FOR LIMITED PERIOD.  (a)  In this section, "skilled trade tool item"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item listed in this subdivision, the sales price of which is less than $300:</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toolbox for a vehicle;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power tool;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pair of work boots, the sales price of which is less than $175;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item listed in this subdivision, the sales price of which is less than $150:</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power tool battery;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handheld pipe cutters;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drain opening tool;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plumbing inspection equipment;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industry textbook or codebook, the sales price of which is less than $125;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item listed in this subdivision, the sales price of which is less than $100:</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tool belt;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 voltage testing equipment;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shop light;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toolbox, the sales price of which is less than $75;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item listed in this subdivision, the sales price of which is less than $50:</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hand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pair or set of safety glasses;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protective coveralls;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duffle bag or tote bag;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LED flashlight;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pair of work gloves, the sales price of which is less than $25.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a skilled trade tool item is exempted from the taxes imposed by this chapter if the sale takes place during a period beginning at 12:01 a.m. on the first Friday in September and ending at 11:59 p.m. on the following Monday.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