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88R6529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cancel platted subdivisions that have remained undeveloped.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232.0085(a),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real property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located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outside municipalities and the extraterritorial jurisdiction of municipalities, as determined under Chapter 42;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 </w:t>
      </w:r>
      <w:r>
        <w:rPr>
          <w:u w:val="single"/>
        </w:rPr>
        <w:t xml:space="preserve">is located</w:t>
      </w:r>
      <w:r>
        <w:t xml:space="preserve"> in </w:t>
      </w:r>
      <w:r>
        <w:rPr>
          <w:u w:val="single"/>
        </w:rPr>
        <w:t xml:space="preserve">the unincorporated area of</w:t>
      </w:r>
      <w:r>
        <w:t xml:space="preserve"> an affected county, as defined by Section 16.341, Water Code,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has adopted the model rules developed under Section 16.343, Water Code</w:t>
      </w:r>
      <w:r>
        <w:rPr>
          <w:u w:val="single"/>
        </w:rPr>
        <w:t xml:space="preserve">;</w:t>
      </w:r>
      <w:r>
        <w:t xml:space="preserve">[</w:t>
      </w:r>
      <w:r>
        <w:rPr>
          <w:strike/>
        </w:rPr>
        <w:t xml:space="preserve">,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is located along an international border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area is located in the extraterritorial jurisdiction of a municipality, is not subject to a written agreement under Section 242.001 that authorizes the municipality to regulate subdivision plats and approve related permits in the extraterritorial jurisdiction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