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88R12544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2424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2424:</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2424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and certification requirements for inspectors of public swimming pools, including spas, and artificial swimming lagoons.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341, Health and Safety Code, is amended by adding Section 341.0643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341.0643.</w:t>
      </w:r>
      <w:r>
        <w:rPr>
          <w:u w:val="single"/>
        </w:rPr>
        <w:t xml:space="preserve"> </w:t>
      </w:r>
      <w:r>
        <w:rPr>
          <w:u w:val="single"/>
        </w:rPr>
        <w:t xml:space="preserve"> </w:t>
      </w:r>
      <w:r>
        <w:rPr>
          <w:u w:val="single"/>
        </w:rPr>
        <w:t xml:space="preserve">POOL AND LAGOON INSPECTOR TRAINING AND CERTIFICATION.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swimming lagoon" has the meaning assigned by Section 1.005.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swimming pool" has the meaning assigned by Section 1.005 and includes a spa.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require an inspector of a public swimming pool or artificial swimming lagoon to complete training on and obtain certification in the operation of pools and lagoons that is at least as stringent as the training and certification requirements for an owner or operator of a public swimming pool or artificial swimming lagoon.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executive commissioner of the Health and Human Services Commission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341.0643, Health and Safety Code, as added by this Act, a public swimming pool or artificial swimming lagoon inspector is not required to comply with a rule adopted under that section until May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