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88R10536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Isaac</w:t>
      </w:r>
      <w:r xml:space="preserve">
        <w:tab wTab="150" tlc="none" cTlc="0"/>
      </w:r>
      <w:r>
        <w:t xml:space="preserve">H.B.</w:t>
      </w:r>
      <w:r xml:space="preserve">
        <w:t> </w:t>
      </w:r>
      <w:r>
        <w:t xml:space="preserve">No.</w:t>
      </w:r>
      <w:r xml:space="preserve">
        <w:t> </w:t>
      </w:r>
      <w:r>
        <w:t xml:space="preserve">2426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information required to be disclosed in a registration form for lobbyists.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305.005(l), Government Code, is amended to read as follows:</w:t>
      </w:r>
    </w:p>
    <w:p w:rsidR="003F3435" w:rsidRDefault="0032493E">
      <w:pPr>
        <w:spacing w:line="480" w:lineRule="auto"/>
        <w:ind w:firstLine="720"/>
        <w:jc w:val="both"/>
      </w:pPr>
      <w:r>
        <w:t xml:space="preserve">(l)</w:t>
      </w:r>
      <w:r xml:space="preserve">
        <w:t> </w:t>
      </w:r>
      <w:r xml:space="preserve">
        <w:t> </w:t>
      </w:r>
      <w:r>
        <w:t xml:space="preserve">The registration form must include</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 statement of whether the registrant is or is required to be registered as a foreign agent under the Foreign Agents Registration Act of 1938 (22 U.S.C. Section 611 et seq.)</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each country for which the registrant is or is required to be registered as a foreign agent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to a registration filed on or after the effective date of this Act.  A registration filed before the effective date of this Act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2426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