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88R11709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Morrison</w:t>
      </w:r>
      <w:r xml:space="preserve">
        <w:tab wTab="150" tlc="none" cTlc="0"/>
      </w:r>
      <w:r>
        <w:t xml:space="preserve">H.B.</w:t>
      </w:r>
      <w:r xml:space="preserve">
        <w:t> </w:t>
      </w:r>
      <w:r>
        <w:t xml:space="preserve">No.</w:t>
      </w:r>
      <w:r xml:space="preserve">
        <w:t> </w:t>
      </w:r>
      <w:r>
        <w:t xml:space="preserve">2429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certain data collected by the Texas Workforce Commission to determine general prevailing wage rates for certain public work contracts.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2258.022(a),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For a contract for a public work awarded by a political subdivision of the state, the public body shall determine the general prevailing rate of per diem wages in the locality in which the public work is to be performed for each craft or type of worker needed to execute the contract and the prevailing rate for legal holiday and overtime work by:</w:t>
      </w:r>
    </w:p>
    <w:p w:rsidR="003F3435" w:rsidRDefault="0032493E">
      <w:pPr>
        <w:spacing w:line="480" w:lineRule="auto"/>
        <w:ind w:firstLine="1440"/>
        <w:jc w:val="both"/>
      </w:pPr>
      <w:r>
        <w:t xml:space="preserve">(1)</w:t>
      </w:r>
      <w:r xml:space="preserve">
        <w:t> </w:t>
      </w:r>
      <w:r xml:space="preserve">
        <w:t> </w:t>
      </w:r>
      <w:r>
        <w:t xml:space="preserve">conducting a survey of the wages received by classes of workers employed on projects of a character similar to the contract work in the political subdivision of the state in which the public work is to be performed;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using the prevailing wage rate as determined by the United States Department of Labor in accordance with the Davis-Bacon Act (40 U.S.C. Section </w:t>
      </w:r>
      <w:r>
        <w:rPr>
          <w:u w:val="single"/>
        </w:rPr>
        <w:t xml:space="preserve">3141</w:t>
      </w:r>
      <w:r>
        <w:t xml:space="preserve"> [</w:t>
      </w:r>
      <w:r>
        <w:rPr>
          <w:strike/>
        </w:rPr>
        <w:t xml:space="preserve">276a</w:t>
      </w:r>
      <w:r>
        <w:t xml:space="preserve">] et seq.), and its subsequent amendments</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using data compiled by the Texas Workforce Commission's Labor Market and Career Information Department, including occupational employment statistics wage data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local workforce development area or metropolitan statistical area relating to the locality in which the public work is performed;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state, but only if there is no data available for the relevant local workforce development area or the metropolitan statistical area for the specific occupation, as classified by the United States Office of Management and Budget in the North American Industry Classification system, for which data is sought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public work contract entered into or renewed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