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a framework for including certain credentials of value offered by general academic teaching institutions as part of a baccalaureate degree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61.003.</w:t>
      </w:r>
      <w:r xml:space="preserve">
        <w:t> </w:t>
      </w:r>
      <w:r xml:space="preserve">
        <w:t> </w:t>
      </w:r>
      <w:r>
        <w:t xml:space="preserve">DEFINITIONS.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"Credential of value" means an industry recognized work-based learning credential in a high growth, high demand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61, Education Code, is amended by adding Section 61.05124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61.05124.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ENCOURAGEMENT FOR COLLABORATION BETWEEN GENERAL ACADEMIC UNIVERSITIES, PUBLIC COMMUNITY COLLEGES, RECOGNIZED ACCREDITING AGENCIES, AND PUBLIC TECHNICAL INSTITUTIONS THAT OFFER CREDENTIALS OF VALUE. </w:t>
      </w:r>
      <w:r>
        <w:rPr>
          <w:u w:val="single"/>
        </w:rPr>
        <w:t xml:space="preserve"> </w:t>
      </w:r>
      <w:r>
        <w:rPr>
          <w:u w:val="single"/>
        </w:rPr>
        <w:t xml:space="preserve">a)  The board shall encourage: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Credentials of value as part of a general academic university degree plan.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Memorandums of understanding between general academic universities and, public technical institutions that offer credentials of value.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Transferability of credits, particularly of course yielding credentials of value.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Development of multi-institutional degree plans.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Creation of a frictionless financial aid process that would allow for grants, scholarships, and all other forms of financial aid to be applicable to the earning of credentials of value.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award the designation of a Successful Outcomes distinction for general academic universities that have at least 8% of the graduating class of each academic year graduate with at least one credential of value.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61, Education Code, is amended by adding Section 61.05125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61.05125.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CREATION AND OBLIGATIONS OF A MULTI-INSTITUTIONAL TASKFORCE.  a)  The Board shall create a taskforce consisting of at least one representative from A K-12 school district, a recognized accrediting entity, one representative from a general academic university, one representative from the Texas Workforce Commission, one representative from a public community college, and one representative from a public technical college.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taskforce shall work together to develop a framework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Integrated multi institutional degree plans which are fully accredited.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initiation of said degree plans at the k-12 level.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student earning at least 2 credentials of value in their four year degree plan.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Graduation with at least 2 credentials of value and a four year degree in four years or less after high school graduation.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