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2452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effective date of retirement for certain members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effective date of a member's service retirement is the last day of the later of the following months:</w:t>
      </w:r>
    </w:p>
    <w:p w:rsidR="003F3435" w:rsidRDefault="0032493E">
      <w:pPr>
        <w:spacing w:line="480" w:lineRule="auto"/>
        <w:ind w:firstLine="1440"/>
        <w:jc w:val="both"/>
      </w:pPr>
      <w:r>
        <w:t xml:space="preserve">(1)</w:t>
      </w:r>
      <w:r xml:space="preserve">
        <w:t> </w:t>
      </w:r>
      <w:r xml:space="preserve">
        <w:t> </w:t>
      </w:r>
      <w:r>
        <w:t xml:space="preserve">any month in a three-month period in which the third month is the month in which the member applies for retirement as provided by Section 824.201;</w:t>
      </w:r>
    </w:p>
    <w:p w:rsidR="003F3435" w:rsidRDefault="0032493E">
      <w:pPr>
        <w:spacing w:line="480" w:lineRule="auto"/>
        <w:ind w:firstLine="1440"/>
        <w:jc w:val="both"/>
      </w:pPr>
      <w:r>
        <w:t xml:space="preserve">(2)</w:t>
      </w:r>
      <w:r xml:space="preserve">
        <w:t> </w:t>
      </w:r>
      <w:r xml:space="preserve">
        <w:t> </w:t>
      </w:r>
      <w:r>
        <w:t xml:space="preserve">the month in which the member satisfies age and service requirements for service retirement as provided by Section 824.202;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month in which the member's employment in a position included in the coverage of the retirement system ends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member applying for retirement is a classroom teacher, the month in which the school year ends for a school year in which the member applies for retirement as provided by Section 824.201</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subsection (4) does not apply to a classroom teacher applying for retirement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unable to continue employment due to health reason;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mutually agreed upon release from duties from a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Teacher Retirement System of Texas shall adopt rules as necessary to implement Section 824.002, Government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retirement submitted under Chapter 824, Government Code, on or after the effective date of this Act.  An application for retirement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