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H.B.</w:t>
      </w:r>
      <w:r xml:space="preserve">
        <w:t> </w:t>
      </w:r>
      <w:r>
        <w:t xml:space="preserve">No.</w:t>
      </w:r>
      <w:r xml:space="preserve">
        <w:t> </w:t>
      </w:r>
      <w:r>
        <w:t xml:space="preserve">2455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annual occupational medical examination for fire fighters.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180, Local Government Code, is amended by adding Section 180.010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180.010.</w:t>
      </w:r>
      <w:r>
        <w:rPr>
          <w:u w:val="single"/>
        </w:rPr>
        <w:t xml:space="preserve"> </w:t>
      </w:r>
      <w:r>
        <w:rPr>
          <w:u w:val="single"/>
        </w:rPr>
        <w:t xml:space="preserve"> </w:t>
      </w:r>
      <w:r>
        <w:rPr>
          <w:u w:val="single"/>
        </w:rPr>
        <w:t xml:space="preserve">ANNUAL OCCUPATIONAL MEDICAL EXAMINATION FOR FIRE FIGHTERS.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"Fire department" has the meaning assigned by Section 419.021,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"Fire fighter" means an individual: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defined as fire protection personnel under Section 419.021(3)(C), Government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who is certified by the Texas Commission on Fire Protection under Chapter 419 of that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fire department shall offer an annual occupational medical evaluation to each fire fighter employed by the fire department at no cost to the fire fighter.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annual occupational medical evaluation must be confidential and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fluid tests;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pulmonary function test;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electrocardiogram;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infectious disease screening;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cancer screening;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chest x-ray, subject to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fire fighter is eligible to receive a chest x-ray during an annual occupational medical examination under this  section once every five years.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Commission on Fire Protection shall adopt rules establishing minimum standards for annual occupational medical examinations under this section by using standards developed by the National Fire Protection Association.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but not later than June 1, 2024, the Texas Commission on Fire Protection shall adopt rules as required by Section 180.010(e), Local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fire department is not required to comply with Section 180.010, Local Government Code, as added by this Act, until July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