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88R2171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disclosure of certain complaint and investigation information by the Texas State Board of Pharmacy to the United States Food and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555.010,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555.010.</w:t>
      </w:r>
      <w:r xml:space="preserve">
        <w:t> </w:t>
      </w:r>
      <w:r xml:space="preserve">
        <w:t> </w:t>
      </w:r>
      <w:r>
        <w:t xml:space="preserve">CONFIDENTIALITY</w:t>
      </w:r>
      <w:r>
        <w:rPr>
          <w:u w:val="single"/>
        </w:rPr>
        <w:t xml:space="preserve">; AUTHORIZED DISCLOSURE</w:t>
      </w:r>
      <w:r>
        <w:t xml:space="preserve">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the</w:t>
      </w:r>
      <w:r>
        <w:t xml:space="preserve"> [</w:t>
      </w:r>
      <w:r>
        <w:rPr>
          <w:strike/>
        </w:rPr>
        <w:t xml:space="preserve">The</w:t>
      </w:r>
      <w:r>
        <w:t xml:space="preserve">] identity of a person who reports to or assists the board under Section 555.002(c) and a document that could disclose the identity of that person are confidential and are not considered public information for the purposes of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identity of a person described by Subsection (a) and a document that could disclose the identity of that person may be disclosed to the United States Food and Drug Administration under a memorandum of understanding described by Section 503A, Federal Food, Drug, and Cosmetic Act (21 U.S.C. Section 353a(b)(3)(B)), entered into as provided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565.055(c),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Subsection (b), information or material compiled by the board in connection with an investigation may be disclosed: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during any proceeding conducted by the State Office of Administrative Hearings, to the board, or a panel of the board, or in a subsequent trial or appeal of a board action or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a person providing a service to the board, including an expert witness, investigator, or employee of an entity that contracts with the board, related to a disciplinary proceeding against an applicant or license holder, or a subsequent trial or appeal, if the information is necessary for preparation for, or a presentation in, the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an entity in another jurisdiction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licenses or disciplines pharmacists or pharmacies;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registers or disciplines pharmacy technicians or pharmacy technician trainees;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to a pharmaceutical or pharmacy peer review committee as described under Chapter 564;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to a law enforcement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to a person engaged in bona fide research, if all information identifying a specific individual has been deleted;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an entity that administers a board-approved pharmacy technician certification examination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United States Food and Drug Administration under a memorandum of understanding described by Section 503A, Federal Food, Drug, and Cosmetic Act (21 U.S.C. Section 353a(b)(3)(B)), entered into as provided by that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