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88R2558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H.B.</w:t>
      </w:r>
      <w:r xml:space="preserve">
        <w:t> </w:t>
      </w:r>
      <w:r>
        <w:t xml:space="preserve">No.</w:t>
      </w:r>
      <w:r xml:space="preserve">
        <w:t> </w:t>
      </w:r>
      <w:r>
        <w:t xml:space="preserve">2463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adjustment for certain school districts under the public school finance system for revenue lost due to the use of the state value of the district's taxable value of property determined by the comptroller of public accounts.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48, Education Code, is amended by adding Section 48.2711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48.2711.</w:t>
      </w:r>
      <w:r>
        <w:rPr>
          <w:u w:val="single"/>
        </w:rPr>
        <w:t xml:space="preserve"> </w:t>
      </w:r>
      <w:r>
        <w:rPr>
          <w:u w:val="single"/>
        </w:rPr>
        <w:t xml:space="preserve"> </w:t>
      </w:r>
      <w:r>
        <w:rPr>
          <w:u w:val="single"/>
        </w:rPr>
        <w:t xml:space="preserve">ADJUSTMENT FOR LOSS OF REVENUE DUE TO USE OF STATE VALUE.  (a)  This section applies only to a school district for which the state value for the district's taxable value of property is used under Section 403.302(c), Government Code.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school district to which this section applies, the agency shall determine whether the district's entitlement under this chapter for a school year is greater if the district's taxable value of property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local value;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state value as determined by the comptroller under Sections 403.302(a) and (b),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agency determines under Subsection (b) that the school district's entitlement is greater for the applicable school year using the local value for the district's taxable value of property, the commissioner shall increase state aid or adjust the limit on local revenue under Section 48.257 for the district for that school year in an amount equal to the difference between the amounts determined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may not receive an adjustment under this section for more than two consecutive school years.  If a school district receives an adjustment under this section for two consecutive school years, the district is not eligible to receive an adjustment under this section in the subsequent school year but may be again eligible for the adjustment following a school year for which the local value is used for the district's taxable value of property under Section 403.302(c),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