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88R11455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Reynolds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and movement of motorcycles on a roadway laned for traffic.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545, Transportation Code, is amended by adding Section 545.0605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545.0605.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OPERATION OF MOTORCYCLES ON ROADWAY LANED FOR TRAFFIC.  (a)  Notwithstanding Section 545.060(a)(1), the operator of a two-wheeled motorcycle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 the motorcycle for a safe distance between lanes of traffic moving in the same direction;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pass a motor vehicle while in the same lane as the vehicle being passed only if: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is on a divided highway with at least two lanes of traffic in each direction;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vehicle being passed is stopped or moving at a speed of not more than 10 miles per hour;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motorcycle is operated at a speed of not more than 20 miles per hour when making the pass;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pass can be made safely.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authorize the operator of a motorcycle to pass a school bus in a manner prohibited by Section 545.066.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