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compensation and leave for certain security officers or investigators commissioned as peace officers by the comptroller.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403, Government Code, is amended by adding Section 403.0306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403.0306.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COMMISSIONED PEACE OFFICERS. </w:t>
      </w:r>
      <w:r>
        <w:rPr>
          <w:u w:val="single"/>
        </w:rPr>
        <w:t xml:space="preserve"> </w:t>
      </w:r>
      <w:r>
        <w:rPr>
          <w:u w:val="single"/>
        </w:rPr>
        <w:t xml:space="preserve">The comptroller shall ensure that a security officer or investigator commissioned as a peace officer by the comptroller is compensated according to Schedule C of the position classification salary schedule prescribed by the General Appropriations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661.918(a),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to a peace officer under Article 2.12, Code of Criminal Procedure, who is commissioned as a law enforcement officer or agent, including a ranger,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Public Safety Commission and the director of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Parks and Wildlife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Alcoholic Beverage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attorney general;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insurance fraud unit of the Texas Department of Insurance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The classification officer in the office of the state auditor shall classify the position of security officer or investigator commissioned as a peace officer by the comptroller as a Schedule C position under the Texas Position Classification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change made by the classification officer as required by this section applies beginning with the state fiscal biennium beginning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661.918(a), Government Code, as amended by this Act, applies only to an injury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