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88R8531 PRL-D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2474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wind energy rights and wind energy development agreements.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6, Utilities Code, is amended by adding Chapter 303 to read as follows:</w:t>
      </w:r>
    </w:p>
    <w:p w:rsidR="003F3435" w:rsidRDefault="0032493E">
      <w:pPr>
        <w:spacing w:line="480" w:lineRule="auto"/>
        <w:jc w:val="center"/>
      </w:pPr>
      <w:r>
        <w:rPr>
          <w:u w:val="single"/>
        </w:rPr>
        <w:t xml:space="preserve">CHAPTER 303. WIND ENERGY RIGHTS AND RELATED AGREEMENTS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303.0001.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"Wind energy agreement" means a lease, license, easement, or other agreement between the owner of a wind energy right and a wind energy developer to develop wind-powered energy generation.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"Wind energy developer" means the lessee, easement holder, licensee, or similar party under a wind energy agreement.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"Wind energy developer of record" means the wind energy developer named in a recorded wind energy agreement or, if the wind energy agreement has been transferred by a recorded document, the most recent transferee of the rights of the original wind energy developer identified in the recorded document.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"Wind energy right" means the right of the owner of a surface estate, either directly or through a wind energy developer under a wind energy agreement, to capture and employ the kinetic energy of the wind.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"Wind-powered energy generation" means the generation of electricity by means of a turbine or other device that captures and employs the kinetic energy of the wind.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303.0002.</w:t>
      </w:r>
      <w:r>
        <w:rPr>
          <w:u w:val="single"/>
        </w:rPr>
        <w:t xml:space="preserve"> </w:t>
      </w:r>
      <w:r>
        <w:rPr>
          <w:u w:val="single"/>
        </w:rPr>
        <w:t xml:space="preserve"> </w:t>
      </w:r>
      <w:r>
        <w:rPr>
          <w:u w:val="single"/>
        </w:rPr>
        <w:t xml:space="preserve">WIND ENERGY RIGHT.  A wind energy right is not severable from the surface estate but may be created, transferred, encumbered, or modified by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303.0003.</w:t>
      </w:r>
      <w:r>
        <w:rPr>
          <w:u w:val="single"/>
        </w:rPr>
        <w:t xml:space="preserve"> </w:t>
      </w:r>
      <w:r>
        <w:rPr>
          <w:u w:val="single"/>
        </w:rPr>
        <w:t xml:space="preserve"> </w:t>
      </w:r>
      <w:r>
        <w:rPr>
          <w:u w:val="single"/>
        </w:rPr>
        <w:t xml:space="preserve">WIND ENERGY AGREEMENT.  (a) A wind energy agreement is subject to statutory and other rules of law to the same extent as other agreements creating interests in or rights to use real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wind energy agreement: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recorded in the office of the county clerk in the county where the land subject to the agreement is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unless recorded as described in Subdivision (1), is void as to any person who subsequently purchases rights in or to the land for a valuable consideration, except as between the parties to the agreement and as to those having notice of the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clerk shall index a wind energy agreement in both the grantor and grantee indices under the name of each party to the wind energy agreement.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applies to any modification, assignment, or encumbrance of a wind energy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303.0004.</w:t>
      </w:r>
      <w:r>
        <w:rPr>
          <w:u w:val="single"/>
        </w:rPr>
        <w:t xml:space="preserve"> </w:t>
      </w:r>
      <w:r>
        <w:rPr>
          <w:u w:val="single"/>
        </w:rPr>
        <w:t xml:space="preserve"> </w:t>
      </w:r>
      <w:r>
        <w:rPr>
          <w:u w:val="single"/>
        </w:rPr>
        <w:t xml:space="preserve">TERMINATION; RELEASE. (a) If a wind energy agreement expires or is terminated, the wind energy developer of record shall record a release in the office of the county clerk in the county where the land subject to the agreement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wind energy developer of record fails to record a release as described by Subsection (a), the owner of the surface estate or the owner's agent may request the wind energy developer of record to record the release. The request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writing;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delivered to the last-known address of the wind energy developer of record: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personally;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 certified mail, first class postage prepaid, and return receipt requested.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wind energy developer of record who receives a request under Subsection (b) shall, not later than 90 days after the date the request is received, record the release as described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interest of the wind energy developer of record has been transferred by an instrument that has not been recorded, the transferee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first record the instrument by which the transferee acquired the interest and then record the release required by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cause the wind energy developer of record to record the release required by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release recorded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wind energy agreement with reasonable clarity;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names of the parties;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legal description of the land subject to the agreement;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applicable recording information of the agreement.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county clerk shall index the release in both the grantor and grantee indices under the name of each party identified in the release.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303.0005.</w:t>
      </w:r>
      <w:r>
        <w:rPr>
          <w:u w:val="single"/>
        </w:rPr>
        <w:t xml:space="preserve"> </w:t>
      </w:r>
      <w:r>
        <w:rPr>
          <w:u w:val="single"/>
        </w:rPr>
        <w:t xml:space="preserve"> </w:t>
      </w:r>
      <w:r>
        <w:rPr>
          <w:u w:val="single"/>
        </w:rPr>
        <w:t xml:space="preserve">FAILURE TO RECORD RELEASE; LIABILITY. (a) If a wind energy developer of record who receives a request under Section 303.0004(b) fails to record the release as required by Section 303.0004(c), the wind energy developer of record is liable to the owner of the surface estate for any damages caused by the failure.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wind energy developer of record and every transferee described in Section 303.0004(d) are jointly and severally liable for any damages caused by the failure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wind energy developer of record to record the release as required by Section 303.0004(c);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transferee to comply with Section 303.0004(d).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303.0006.</w:t>
      </w:r>
      <w:r>
        <w:rPr>
          <w:u w:val="single"/>
        </w:rPr>
        <w:t xml:space="preserve"> </w:t>
      </w:r>
      <w:r>
        <w:rPr>
          <w:u w:val="single"/>
        </w:rPr>
        <w:t xml:space="preserve"> </w:t>
      </w:r>
      <w:r>
        <w:rPr>
          <w:u w:val="single"/>
        </w:rPr>
        <w:t xml:space="preserve">TRANSFER OF PARTY'S INTEREST IN AGREEMENT.  Nothing in this chapter restricts the transfer of any interest of a party to a wind energy agreement, including the transfer of the right of the owner of the surface estate to receive payments under the wind energy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Nothing in this Act affects the validity of an agreement entered into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