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Shine, Lopez of Bexar, Thierry,</w:t>
      </w:r>
      <w:r xml:space="preserve">
        <w:tab wTab="150" tlc="none" cTlc="0"/>
      </w:r>
      <w:r>
        <w:t xml:space="preserve">H.B.</w:t>
      </w:r>
      <w:r xml:space="preserve">
        <w:t> </w:t>
      </w:r>
      <w:r>
        <w:t xml:space="preserve">No.</w:t>
      </w:r>
      <w:r xml:space="preserve">
        <w:t> </w:t>
      </w:r>
      <w:r>
        <w:t xml:space="preserve">2476</w:t>
      </w:r>
    </w:p>
    <w:p w:rsidR="003F3435" w:rsidRDefault="0032493E">
      <w:pPr>
        <w:jc w:val="both"/>
      </w:pPr>
      <w:r xml:space="preserve">
        <w:t> </w:t>
      </w:r>
      <w:r xml:space="preserve">
        <w:t> </w:t>
      </w:r>
      <w:r xml:space="preserve">
        <w:t> </w:t>
      </w:r>
      <w:r xml:space="preserve">
        <w:t> </w:t>
      </w:r>
      <w:r xml:space="preserve">
        <w:t> </w:t>
      </w:r>
      <w:r>
        <w:t xml:space="preserve">Morales Shaw,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veterans' land bank program by the Texas State Affordable Housing Corporation.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2306.566(c),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corporation's plan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specific proposals to help serve rural and other underserved areas of the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veterans' land bank plan developed under Section 2306.5622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Y, Chapter 2306, Government Code, is amended by adding Section 2306.5622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2306.5622.</w:t>
      </w:r>
      <w:r>
        <w:rPr>
          <w:u w:val="single"/>
        </w:rPr>
        <w:t xml:space="preserve"> </w:t>
      </w:r>
      <w:r>
        <w:rPr>
          <w:u w:val="single"/>
        </w:rPr>
        <w:t xml:space="preserve"> </w:t>
      </w:r>
      <w:r>
        <w:rPr>
          <w:u w:val="single"/>
        </w:rPr>
        <w:t xml:space="preserve">VETERANS' LAND BANK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"Affordable" means that the monthly mortgage payment or contract rent does not exceed 30 percent of the applicable median family income for that housing unit size, in accordance with the income and rent limit rules adopted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"Low-income household" means a household with an income of not greater than 80 percent of the area median family income, based on gross household income, adjusted for household size, for a municipality or, if located in an area that is not part of a municipality, a county, as determined annually by the United States Department of Housing and Urban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"Veteran"</w:t>
      </w:r>
      <w:r>
        <w:rPr>
          <w:u w:val="single"/>
        </w:rPr>
        <w:t xml:space="preserve"> </w:t>
      </w:r>
      <w:r>
        <w:rPr>
          <w:u w:val="single"/>
        </w:rPr>
        <w:t xml:space="preserve">has the meaning provided by Section 161.001, Natural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plan" or "plan" means a plan adopted by the corporation as provided by Subsection (f).</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program" or "program" means a program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controls to the extent of any conflict between this section and another provision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corporation shall establish a veterans'</w:t>
      </w:r>
      <w:r>
        <w:rPr>
          <w:u w:val="single"/>
        </w:rPr>
        <w:t xml:space="preserve"> </w:t>
      </w:r>
      <w:r>
        <w:rPr>
          <w:u w:val="single"/>
        </w:rPr>
        <w:t xml:space="preserve">land bank program for the purpose of acquiring, holding, and transferring real property under this section to provide affordable housing for veterans who are members of low-income households.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Property held by the corporation under the program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property acquired in the manner provided by Subsection (g);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property acquired by or transferred to the corporation.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sale or other transfer of property for use in connection with the program is a sale for a public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corporation shall operate the program in conformance with a veterans'</w:t>
      </w:r>
      <w:r>
        <w:rPr>
          <w:u w:val="single"/>
        </w:rPr>
        <w:t xml:space="preserve"> </w:t>
      </w:r>
      <w:r>
        <w:rPr>
          <w:u w:val="single"/>
        </w:rPr>
        <w:t xml:space="preserve">land bank plan. </w:t>
      </w:r>
      <w:r>
        <w:rPr>
          <w:u w:val="single"/>
        </w:rPr>
        <w:t xml:space="preserve"> </w:t>
      </w:r>
      <w:r>
        <w:rPr>
          <w:u w:val="single"/>
        </w:rPr>
        <w:t xml:space="preserve">The corporation shall adopt a plan annually.  The plan may be amended from time to time. </w:t>
      </w:r>
      <w:r>
        <w:rPr>
          <w:u w:val="single"/>
        </w:rPr>
        <w:t xml:space="preserve"> </w:t>
      </w:r>
      <w:r>
        <w:rPr>
          <w:u w:val="single"/>
        </w:rPr>
        <w:t xml:space="preserve">In developing the plan, the corporation shall consider any other housing plans adopted by a municipality or county in which the corporation intends to implement the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Property that is ordered sold pursuant to foreclosure of a tax lien may be sold to the corporation for the purpose of the program in the manner provided by Section 34.01, Tax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if consent is given by the taxing units that are a party to the judgment, property may be sold to the corporation for the program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deed of conveyance of the property sold to the corporation under Subsection (g) conveys to the corporation the right, title, and interest acquired or held by each taxing unit that was a party to the judgment, subject to the right of redemption.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Each subsequent resale by the corporation of a property under the program must comply with the conditions of this subsection. </w:t>
      </w:r>
      <w:r>
        <w:rPr>
          <w:u w:val="single"/>
        </w:rPr>
        <w:t xml:space="preserve"> </w:t>
      </w:r>
      <w:r>
        <w:rPr>
          <w:u w:val="single"/>
        </w:rPr>
        <w:t xml:space="preserve">Within the 10-year period following the date of acquisition, the corporation</w:t>
      </w:r>
      <w:r>
        <w:rPr>
          <w:u w:val="single"/>
        </w:rPr>
        <w:t xml:space="preserve"> </w:t>
      </w:r>
      <w:r>
        <w:rPr>
          <w:u w:val="single"/>
        </w:rPr>
        <w:t xml:space="preserve">must sell a property to a veteran who is a member of a low-income household. </w:t>
      </w:r>
      <w:r>
        <w:rPr>
          <w:u w:val="single"/>
        </w:rPr>
        <w:t xml:space="preserve"> </w:t>
      </w:r>
      <w:r>
        <w:rPr>
          <w:u w:val="single"/>
        </w:rPr>
        <w:t xml:space="preserve">If after 10 years a qualified veteran has not purchased the property, the property shall be transferred from the corporation to the taxing units who were parties to the judgment for disposition as otherwise allowed under the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corporation shall impose, in accordance with this subsection, deed restrictions on property sold to veterans through the program requiring the subsequent sale or rental of the property to veterans who are members of low-income households.  Except as otherwise provided by this subsection, if the deed restrictions imposed under this subsection are for a term of years, the deed restrictions renew automatically.  The corporation may modify or add to the deed restrictions imposed under this subsection.  Any modifications or additions made by the corporation must be adopted by the corporation as part of its plan and must comply with the minimum requirements provided under this subsection.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For purposes of evaluating the effectiveness of the program, the corporation shall prepare an annual performance report not later than November 1 of each year.  The performance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complete and detailed written accounting of all money and properties received and disbursed by the corporation through the program during the preceding state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property acquired by the corporation for the program during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corporation took title to the property;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and mailing address of the property owner of record at the time of the acquisition;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amount of taxes and other costs owed at the time of the foreclosure if the property was acquired under Subsection (g);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assessed value of the property on the tax roll at the time of the foreclosure if the property was acquired under Subsection (g);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property sold by the corporation through the program during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price paid by the purchaser.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corporation shall provide copies of the performance report to any taxing units who were parties to a sale of property under Subsection (g).  The corporation shall maintain copies of the performance report available for public review.</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corporation shall maintain in its records for inspection a copy of the sale settlement statement for each property sold through the veterans'</w:t>
      </w:r>
      <w:r>
        <w:rPr>
          <w:u w:val="single"/>
        </w:rPr>
        <w:t xml:space="preserve"> </w:t>
      </w:r>
      <w:r>
        <w:rPr>
          <w:u w:val="single"/>
        </w:rPr>
        <w:t xml:space="preserve">land bank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11.18(d) and (o), Tax Code, are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dependent, or handicapped children in need of residential care,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t xml:space="preserve">the handicapped,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handicapped individuals,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rPr>
          <w:u w:val="single"/>
        </w:rPr>
        <w:t xml:space="preserve">(22-a)</w:t>
      </w:r>
      <w:r>
        <w:rPr>
          <w:u w:val="single"/>
        </w:rPr>
        <w:t xml:space="preserve"> </w:t>
      </w:r>
      <w:r>
        <w:rPr>
          <w:u w:val="single"/>
        </w:rPr>
        <w:t xml:space="preserve"> </w:t>
      </w:r>
      <w:r>
        <w:rPr>
          <w:u w:val="single"/>
        </w:rPr>
        <w:t xml:space="preserve">acquiring, holding, and transferring unimproved real property under a veterans' land bank program established under Section 2306.5622, Government Code, as or on behalf of the Texas State Affordable Housing Corporation;</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or</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p>
    <w:p w:rsidR="003F3435" w:rsidRDefault="0032493E">
      <w:pPr>
        <w:spacing w:line="480" w:lineRule="auto"/>
        <w:ind w:firstLine="720"/>
        <w:jc w:val="both"/>
      </w:pPr>
      <w:r>
        <w:t xml:space="preserve">(o)</w:t>
      </w:r>
      <w:r xml:space="preserve">
        <w:t> </w:t>
      </w:r>
      <w:r xml:space="preserve">
        <w:t> </w:t>
      </w:r>
      <w:r>
        <w:t xml:space="preserve">For purposes of Subsection (a)(2), real property acquired, held, and transferred by an organization that performs the function described by Subsection (d)(21)</w:t>
      </w:r>
      <w:r>
        <w:rPr>
          <w:u w:val="single"/>
        </w:rPr>
        <w:t xml:space="preserve">,</w:t>
      </w:r>
      <w:r>
        <w:t xml:space="preserve"> [</w:t>
      </w:r>
      <w:r>
        <w:rPr>
          <w:strike/>
        </w:rPr>
        <w:t xml:space="preserve">or</w:t>
      </w:r>
      <w:r>
        <w:t xml:space="preserve">] (22)</w:t>
      </w:r>
      <w:r>
        <w:rPr>
          <w:u w:val="single"/>
        </w:rPr>
        <w:t xml:space="preserve">, or (22-a)</w:t>
      </w:r>
      <w:r>
        <w:t xml:space="preserve"> is considered to be used exclusively by the qualified charitable organization to perform that function.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11.18, Tax Code, as amended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