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88R8491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report regarding certain newborn screening tests.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Health and Safety Code, is amended by adding Section 33.020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(a) </w:t>
      </w:r>
      <w:r>
        <w:rPr>
          <w:u w:val="single"/>
        </w:rPr>
        <w:t xml:space="preserve"> </w:t>
      </w:r>
      <w:r>
        <w:rPr>
          <w:u w:val="single"/>
        </w:rPr>
        <w:t xml:space="preserve">For each newborn screening test that screens for a disorder included in the list of core conditions described by Section 33.011(a-1) that is not required by the department, the department shall, not later than September 1 of each year, prepare and submit a written report to the governor, the lieutenant governor, the speaker of the house of representatives, and each standing committee of the legislature having primary jurisdiction over the department. </w:t>
      </w:r>
      <w:r>
        <w:rPr>
          <w:u w:val="single"/>
        </w:rPr>
        <w:t xml:space="preserve"> </w:t>
      </w:r>
      <w:r>
        <w:rPr>
          <w:u w:val="single"/>
        </w:rPr>
        <w:t xml:space="preserve">The written report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any additional program capacity or resources the department would need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the additional newborn screening test;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newborn in the state to receive the additional newborn screening test;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summarize the plan for implementing and requiring the additional newborn screening test, including by identifying: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potential barriers to implementation;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anticipated implementation date.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plan described by Subsection (a)(2), the report must include information on whether the department is capable of implementing the required additional newborn screening test within a 24-month period.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33.054,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