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88R20101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2484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2484:</w:t>
      </w: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C.S.H.B.</w:t>
      </w:r>
      <w:r xml:space="preserve">
        <w:t> </w:t>
      </w:r>
      <w:r>
        <w:t xml:space="preserve">No.</w:t>
      </w:r>
      <w:r xml:space="preserve">
        <w:t> </w:t>
      </w:r>
      <w:r>
        <w:t xml:space="preserve">2484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safety of a referee, judge, or other official at certain public school extracurricular activities and prohibiting certain conduct by a spectator related to those officials'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 (f-1) and amending Subsection (g)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spectator of a University Interscholastic League competition, including a parent or guardian of a student participant, shall be prohibited from attending any future extracurricular activity sponsored or sanctioned by the school district or the University Interscholastic League if the spectator engages in conduct that intentionally, knowingly, or recklessly causes bodily injury to a person serving as referee, judge, or other official of an extracurricular activity in retaliation for or as a result of the person's actions taken in performing the duties of a referee, judge, or other official of the extracurricular activity.</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w:t>
      </w:r>
      <w:r>
        <w:rPr>
          <w:u w:val="single"/>
        </w:rPr>
        <w:t xml:space="preserve">person's</w:t>
      </w:r>
      <w:r>
        <w:t xml:space="preserve"> [</w:t>
      </w:r>
      <w:r>
        <w:rPr>
          <w:strike/>
        </w:rPr>
        <w:t xml:space="preserve">student's</w:t>
      </w:r>
      <w:r>
        <w:t xml:space="preserve">] eligibility to participate in </w:t>
      </w:r>
      <w:r>
        <w:rPr>
          <w:u w:val="single"/>
        </w:rPr>
        <w:t xml:space="preserve">or attend an</w:t>
      </w:r>
      <w:r>
        <w:t xml:space="preserve"> extracurricular </w:t>
      </w:r>
      <w:r>
        <w:rPr>
          <w:u w:val="single"/>
        </w:rPr>
        <w:t xml:space="preserve">activity</w:t>
      </w:r>
      <w:r>
        <w:t xml:space="preserve"> [</w:t>
      </w:r>
      <w:r>
        <w:rPr>
          <w:strike/>
        </w:rPr>
        <w:t xml:space="preserve">activities</w:t>
      </w:r>
      <w:r>
        <w:t xml:space="preserve">], including issues related to </w:t>
      </w:r>
      <w:r>
        <w:rPr>
          <w:u w:val="single"/>
        </w:rPr>
        <w:t xml:space="preserve">a</w:t>
      </w:r>
      <w:r>
        <w:t xml:space="preserve"> [</w:t>
      </w:r>
      <w:r>
        <w:rPr>
          <w:strike/>
        </w:rPr>
        <w:t xml:space="preserve">the</w:t>
      </w:r>
      <w:r>
        <w:t xml:space="preserve">] student's grades, the school district's grading policy as applied to </w:t>
      </w:r>
      <w:r>
        <w:rPr>
          <w:u w:val="single"/>
        </w:rPr>
        <w:t xml:space="preserve">a</w:t>
      </w:r>
      <w:r>
        <w:t xml:space="preserve"> [</w:t>
      </w:r>
      <w:r>
        <w:rPr>
          <w:strike/>
        </w:rPr>
        <w:t xml:space="preserve">the</w:t>
      </w:r>
      <w:r>
        <w:t xml:space="preserve">] student's eligibility, </w:t>
      </w:r>
      <w:r>
        <w:rPr>
          <w:u w:val="single"/>
        </w:rPr>
        <w:t xml:space="preserve">a</w:t>
      </w:r>
      <w:r>
        <w:t xml:space="preserve"> [</w:t>
      </w:r>
      <w:r>
        <w:rPr>
          <w:strike/>
        </w:rPr>
        <w:t xml:space="preserve">or the</w:t>
      </w:r>
      <w:r>
        <w:t xml:space="preserve">] student's eligibility based on conduct described by Subsection (e-1)</w:t>
      </w:r>
      <w:r>
        <w:rPr>
          <w:u w:val="single"/>
        </w:rPr>
        <w:t xml:space="preserve">, or a spectator's eligibility to attend an extracurricular activity under Subsection (f-1)</w:t>
      </w:r>
      <w:r>
        <w:t xml:space="preserve">. </w:t>
      </w:r>
      <w:r>
        <w:t xml:space="preserve"> </w:t>
      </w:r>
      <w:r>
        <w:t xml:space="preserve">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33.099.</w:t>
      </w:r>
      <w:r>
        <w:rPr>
          <w:u w:val="single"/>
        </w:rPr>
        <w:t xml:space="preserve"> </w:t>
      </w:r>
      <w:r>
        <w:rPr>
          <w:u w:val="single"/>
        </w:rPr>
        <w:t xml:space="preserve"> </w:t>
      </w:r>
      <w:r>
        <w:rPr>
          <w:u w:val="single"/>
        </w:rPr>
        <w:t xml:space="preserve">SAFETY OF OFFICIAL.  A school district or open-enrollment charter school that holds an extracurricular athletic activity or a University Interscholastic League athletic competition on district or school property shall provide a peace officer, school resource officer, administrator, or security personnel to ensure the safety of a referee, judge, or other official of the activity or competition until the official departs district or school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or spectator of the activity or competition engages in, attempts to engage in, or threatens violent conduct against the official or otherwise disrupts the duties or free movement of the official;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reasonably suspects that an incident described by Subdivision (1) may occur at the activity or competition.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