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88R19121 TJB-F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Geren, Metcalf, Thierry,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2488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A. Johnson of Harris,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burden of proof in certain ad valorem tax appeals.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42.23, Tax Code, is amended by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an appeal under this chapter of an order of an appraisal review board determining a protest under Subchapter C, Chapter 41, or a motion under Section 25.25, involving an increase in the appraised value of property under the circumstances described by Section 23.01(e) or 41.43(a-3).  The appraisal district has the burden of establishing the appraised value of the property subject to the appeal by clear and convincing evidence.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appeal filed under Chapter 42, Tax Code,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