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88R19121 TJB-F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Geren, Metcalf, Thierry,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2488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A. Johnson of Harris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2488: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2488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burden of proof in certain ad valorem tax appeals.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42.23, Tax Code, is amended by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an appeal under this chapter of an order of an appraisal review board determining a protest under Subchapter C, Chapter 41, or a motion under Section 25.25, involving an increase in the appraised value of property under the circumstances described by Section 23.01(e) or 41.43(a-3).  The appraisal district has the burden of establishing the appraised value of the property subject to the appeal by clear and convincing evidence.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appeal filed under Chapter 42, Tax Code,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2488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