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2496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provided by a public water system regarding a water outage in an area served by a provider of fire protection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341, Health and Safety Code, is amended by adding Section 341.03561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341.03561.</w:t>
      </w:r>
      <w:r>
        <w:rPr>
          <w:u w:val="single"/>
        </w:rPr>
        <w:t xml:space="preserve"> </w:t>
      </w:r>
      <w:r>
        <w:rPr>
          <w:u w:val="single"/>
        </w:rPr>
        <w:t xml:space="preserve"> </w:t>
      </w:r>
      <w:r>
        <w:rPr>
          <w:u w:val="single"/>
        </w:rPr>
        <w:t xml:space="preserve">NOTIFICATION OF WATER OUTAGE TO PROVIDER OF FIRE SUPPRESSION SERVICES.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department" has the meaning assigned by Section 795.001.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"Hydrant" has the meaning assigned by Section 341.03571.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"Regulatory authority" has the meaning assigned by Section 13.002, Water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safety answering point" has the meaning assigned by Section 772.001.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regulatory authority for a public water system responsible for a hydrant shall by rule or ordinance require the public water system to provide to each fire department that provides fire suppression services in the area in which the hydrant is located notice of an unplanned water service interruption that results in the hydrant being temporarily unavailable for use in a fire emergency as soon as possible, but no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hour from the first notification that a hydrant is unavailable for use when the outage impacts multiple hydrants;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hours from the first notification that a hydrant is unavailable for use when the outage impacts a singular hydrant.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regulatory authority for a public water system responsible for a hydrant shall by rule or ordinance require the public water system to provide to each fire department that provides fire suppression services in the area in which the hydrant is located notice of a planned water service interruption that results in the hydrant being temporarily unavailable for use in a fire emergency prior to a disruption of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regulatory authority for a public water system responsible for a hydrant shall by rule or ordinance require the public water system to provide to each fire department that provides fire suppression services in the area impacted by a water service interruption under Subsections (b) or (c) notice of a resumption of service within two hours.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this section, a hydrant is unavailable for use in a fire emergency if it is unavailable for pumping directly from the hydrant or is unavailable for use in filling a water tank on a fire truck used for fire suppression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regulatory authority may approve the use of a dynamic information database described by Section 418.192, Government Code, to satisfy the requirements of Subsections (b), (c), and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regulatory authority may instead provide notice to a public safety answering point that relays information to a fire department that provides fire suppression services in the area in which an affected hydrant is located, to satisfy the requirements </w:t>
      </w:r>
      <w:r>
        <w:rPr>
          <w:u w:val="single"/>
        </w:rPr>
        <w:t xml:space="preserve">of Subsections (b), (c), and (d).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