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disbursement of money by a levee improvement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57, Water Code, is amended by adding Section 57.178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57.178.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DISBURSEMENT OF DISTRICT MONEY.  The board by resolution may allow: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bank in which the district deposits money to sign disbursements;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disbursement of district money to be transferred by Automated Clearing House (ACH);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wire or electronic transfer of district money to vendors or other authorized accounts not in the name of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