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 et al.</w:t>
      </w:r>
      <w:r xml:space="preserve">
        <w:tab wTab="150" tlc="none" cTlc="0"/>
      </w:r>
      <w:r>
        <w:t xml:space="preserve">H.B.</w:t>
      </w:r>
      <w:r xml:space="preserve">
        <w:t> </w:t>
      </w:r>
      <w:r>
        <w:t xml:space="preserve">No.</w:t>
      </w:r>
      <w:r xml:space="preserve">
        <w:t> </w:t>
      </w:r>
      <w:r>
        <w:t xml:space="preserve">2510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transparency in certain contracts involving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44, Education Code, is amended by adding Section 44.045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44.045.</w:t>
      </w:r>
      <w:r>
        <w:rPr>
          <w:u w:val="single"/>
        </w:rPr>
        <w:t xml:space="preserve"> </w:t>
      </w:r>
      <w:r>
        <w:rPr>
          <w:u w:val="single"/>
        </w:rPr>
        <w:t xml:space="preserve"> </w:t>
      </w:r>
      <w:r>
        <w:rPr>
          <w:u w:val="single"/>
        </w:rPr>
        <w:t xml:space="preserve">DISCLOSURE OF CONTRACTS NOT COMPETITIVELY PROCURED.  (a)  The board of trustees of a school district shall post on the district's Internet website information regarding each contract for which the district did not use a competitive procurement method to select a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to be paid by the district under the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to whom the contract is awarded;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