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88R20771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transparency in certain contracts involving a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44, Education Code, is amended by adding Section 44.045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44.045.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CONTRACTS NOT COMPETITIVELY BID.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of trustees of a school district shall post on the district's Internet website information regarding each contract for which the district did not use competitive bidding to select a vendor.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required under Subsection (a)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to be paid by the district under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to whom the contract is awarded;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duration of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