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88R19786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Morrison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2512: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Klick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2512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athletic trainers.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451.001(1) and (3), Occupations Code,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"Athletic injury" means an injury sustained by a person as a result of </w:t>
      </w:r>
      <w:r>
        <w:rPr>
          <w:u w:val="single"/>
        </w:rPr>
        <w:t xml:space="preserve">physical activity or exercise or</w:t>
      </w:r>
      <w:r>
        <w:t xml:space="preserve"> the person's participation in an organized sport or sport-related exercise or activity, including interscholastic, intercollegiate, intramural, </w:t>
      </w:r>
      <w:r>
        <w:rPr>
          <w:u w:val="single"/>
        </w:rPr>
        <w:t xml:space="preserve">recreational,</w:t>
      </w:r>
      <w:r>
        <w:t xml:space="preserve"> semiprofessional, and professional sports activities.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"Athletic training" means the form of health care that includes </w:t>
      </w:r>
      <w:r>
        <w:rPr>
          <w:u w:val="single"/>
        </w:rPr>
        <w:t xml:space="preserve">principles and methods for managing and treating athletic injuries for athletic individuals in good general health</w:t>
      </w:r>
      <w:r>
        <w:t xml:space="preserve"> [</w:t>
      </w:r>
      <w:r>
        <w:rPr>
          <w:strike/>
        </w:rPr>
        <w:t xml:space="preserve">the practice of preventing, recognizing, assessing, managing, treating, disposing of, and reconditioning athletic injuries</w:t>
      </w:r>
      <w:r>
        <w:t xml:space="preserve">] under the direction of a physician licensed in this state or another qualified, licensed health professional who is authorized to refer for health care services within the scope of the person's license</w:t>
      </w:r>
      <w:r>
        <w:rPr>
          <w:u w:val="single"/>
        </w:rPr>
        <w:t xml:space="preserve">, and consists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managing the risk of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assessing an athletic injury or illness;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immediate emergency care;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therapeutic intervention for an athletic injury;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reconditioning an athletic injury or illness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2512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