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88R10537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2515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junior priority of a water right authorizing a transfer of water from one river basin in this state to another river basin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11.085(s) and (t), Water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Act applies only to an application for a water right or an amendment to a permit, certified filing, or certificate of adjudication  authorizing an interbasin transfer of water that is accepted for filing on or after the effective date of this Act.</w:t>
      </w:r>
    </w:p>
    <w:p w:rsidR="003F3435" w:rsidRDefault="0032493E">
      <w:pPr>
        <w:spacing w:line="480" w:lineRule="auto"/>
        <w:ind w:firstLine="720"/>
        <w:jc w:val="both"/>
      </w:pPr>
      <w:r>
        <w:t xml:space="preserve">(b)</w:t>
      </w:r>
      <w:r xml:space="preserve">
        <w:t> </w:t>
      </w:r>
      <w:r xml:space="preserve">
        <w:t> </w:t>
      </w:r>
      <w:r>
        <w:t xml:space="preserve">An application for a water right or an amendment to a permit, certified filing, or certificate of adjudication authorizing an interbasin transfer of water that is accepted for filing before the effective date of this Act is governed by the law in effect at the time the application is accepted for filing,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