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88R19495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Raymond, Guillen,</w:t>
      </w:r>
      <w:r xml:space="preserve">
        <w:tab wTab="150" tlc="none" cTlc="0"/>
      </w:r>
      <w:r>
        <w:t xml:space="preserve">H.B.</w:t>
      </w:r>
      <w:r xml:space="preserve">
        <w:t> </w:t>
      </w:r>
      <w:r>
        <w:t xml:space="preserve">No.</w:t>
      </w:r>
      <w:r xml:space="preserve">
        <w:t> </w:t>
      </w:r>
      <w:r>
        <w:t xml:space="preserve">2518</w:t>
      </w:r>
    </w:p>
    <w:p w:rsidR="003F3435" w:rsidRDefault="0032493E">
      <w:pPr>
        <w:jc w:val="both"/>
      </w:pPr>
      <w:r xml:space="preserve">
        <w:t> </w:t>
      </w:r>
      <w:r xml:space="preserve">
        <w:t> </w:t>
      </w:r>
      <w:r xml:space="preserve">
        <w:t> </w:t>
      </w:r>
      <w:r xml:space="preserve">
        <w:t> </w:t>
      </w:r>
      <w:r xml:space="preserve">
        <w:t> </w:t>
      </w:r>
      <w:r>
        <w:t xml:space="preserve">Bell of Montgomery</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2518:</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2518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lease terms for public property leased to a nongovernmental entity;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REQUIRED LEASE TERMS FOR LEASE OF PUBLIC PROPERTY.  (a)  In this section, "governmental entity" has the meaning assigned by Section 2253.001.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lease between a governmental entity and another person regarding public property must contain lease terms requiring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each contract for the construction, alteration, or repair of an improvement to the leased property a condition that the contractor: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 a payment bond that conforms to Subchapter I, Chapter 53, Property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execute a performance bond in an amount equal to the amount of the contract for the protection of the governmental entity and conditioned on the faithful performance of the contractor's work in accordance with the plans, specifications, and contract documents;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governmental entity a notice of commencement consistent with this section at least 90 days before the date the construction, alteration, or repair of any improvement to the leased property begins.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commencement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public property where the work will be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work to be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the total cost of the work to be performed;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copies of the performance and payment bonds required under Subsection (b);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written acknowledgment signed by the contractor stating that copies of the required performance and payment bonds will be provided to all subcontractors not later than the fifth day after the date a subcontract is executed.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10th day after the date a governmental entity receives an incomplete notice of commencement that does not include the required copies of the performance and payment bonds, the governmental entity may notify the leaseholder that the construction, alteration, or repair may not proceed due to the leaseholder's failure to provide the required copies.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materially misrepresents information in a notice of commencement.  An offense under this subsection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2253.027,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If a governmental entity fails to obtain from a prime contractor a payment bond as required by Section 2253.021 </w:t>
      </w:r>
      <w:r>
        <w:rPr>
          <w:u w:val="single"/>
        </w:rPr>
        <w:t xml:space="preserve">or fails to include in a lease the lease terms required by Section 2252.909</w:t>
      </w:r>
      <w:r>
        <w:t xml:space="preserve">:</w:t>
      </w:r>
    </w:p>
    <w:p w:rsidR="003F3435" w:rsidRDefault="0032493E">
      <w:pPr>
        <w:spacing w:line="480" w:lineRule="auto"/>
        <w:ind w:firstLine="1440"/>
        <w:jc w:val="both"/>
      </w:pPr>
      <w:r>
        <w:t xml:space="preserve">(1)</w:t>
      </w:r>
      <w:r xml:space="preserve">
        <w:t> </w:t>
      </w:r>
      <w:r xml:space="preserve">
        <w:t> </w:t>
      </w:r>
      <w:r>
        <w:t xml:space="preserve">the entity is subject to the same liability that a surety would have if the surety had issued a payment bond and if the entity had obtained the bond; and</w:t>
      </w:r>
    </w:p>
    <w:p w:rsidR="003F3435" w:rsidRDefault="0032493E">
      <w:pPr>
        <w:spacing w:line="480" w:lineRule="auto"/>
        <w:ind w:firstLine="1440"/>
        <w:jc w:val="both"/>
      </w:pPr>
      <w:r>
        <w:t xml:space="preserve">(2)</w:t>
      </w:r>
      <w:r xml:space="preserve">
        <w:t> </w:t>
      </w:r>
      <w:r xml:space="preserve">
        <w:t> </w:t>
      </w:r>
      <w:r>
        <w:t xml:space="preserve">a payment bond beneficiary is entitled to a lien on money due to the prime contractor in the same manner and to the same extent as if the public work contract were subject to Subchapter J, Chapter 53, Property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is not liable as a surety under Subsection (a)(1) if a person leasing property from the entity fails to submit to the entity the notice of commencement required by Section 2252.909.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lease for public property entered into or renewed by a governmental entity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