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88R10185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duty of an attorney representing the state to disclose certain information regarding a defendant convicted of an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39.14, Code of Criminal Procedure, is amended by adding Subsection (k-1)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disclosure required under Subsections (h) and (k), an attorney representing the state who develops probable cause to believe that a convicted defendant did not commit the offense for which the defendant was convicted based on credible information discovered by the attorney after the conviction shall: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defendant was convicted of an offense in the attorney's jurisdiction: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information to the defendant, any attorney representing the defendant, and the court in which the defendant was convicted;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defendant not represented by an attorney, submit a motion to the court in which the defendant was convicted requesting a hearing to determine whether the defendant is eligible for appointed counsel under Article 1.051(d);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the attorney representing the defendant any additional information known by the attorney representing the state that may be relevant to an appellate proceeding for the defendant;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defendant was convicted of an offense in a jurisdiction other than the jurisdiction of the attorney representing the state who develops the probable cause, promptly disclose the information to an attorney representing the state in that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81.024,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supreme court adopts the Texas Disciplinary Rules of Professional Conduct under Subsection (b), the rules must provide that a violation of Article 39.14(k-1), Code of Criminal Procedure, if committed in bad faith, is a violation of the Texas Disciplinary Rules of Professional Conduct. An attorney who violates that rule is subject to discipline under Subchapter 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Supreme Court shall adopt rules as required by Section 81.024(c),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