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2532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issuance of a municipal building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striking Subsection (c) to read as follows:</w:t>
      </w:r>
    </w:p>
    <w:p w:rsidR="003F3435" w:rsidRDefault="0032493E">
      <w:pPr>
        <w:spacing w:line="480" w:lineRule="auto"/>
        <w:ind w:firstLine="720"/>
        <w:jc w:val="both"/>
      </w:pPr>
      <w:r>
        <w:t xml:space="preserve">Sec.</w:t>
      </w:r>
      <w:r xml:space="preserve">
        <w:t> </w:t>
      </w:r>
      <w:r>
        <w:t xml:space="preserve">214.904.</w:t>
      </w:r>
      <w:r xml:space="preserve">
        <w:t> </w:t>
      </w:r>
      <w:r xml:space="preserve">
        <w:t> </w:t>
      </w:r>
      <w:r>
        <w:t xml:space="preserve">TIME FOR ISSUANCE OF MUNICIPAL BUILDING PERMIT.  (a) </w:t>
      </w:r>
      <w:r>
        <w:t xml:space="preserve"> </w:t>
      </w:r>
      <w:r>
        <w:t xml:space="preserve">This section applies only to a permit required by a municipality to erect or improve a building or other structure in the municipality or its extraterritorial jurisdiction.</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30th</w:t>
      </w:r>
      <w:r>
        <w:t xml:space="preserve"> [</w:t>
      </w:r>
      <w:r>
        <w:rPr>
          <w:strike/>
        </w:rPr>
        <w:t xml:space="preserve">45th</w:t>
      </w:r>
      <w:r>
        <w:t xml:space="preserve">]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w:t>
      </w:r>
      <w:r>
        <w:rPr>
          <w:strike/>
        </w:rPr>
        <w:t xml:space="preserve">(2) provide written notice to the applicant stating the reasons why the municipality has been unable to grant or deny the permit application;</w:t>
      </w:r>
      <w:r>
        <w:t xml:space="preserve">]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reach a written agreement with the applicant providing for a deadline for granting or denying the permit.</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For a permit application for which notice is provided under Subsection (b)(2), the municipality must grant or deny the permit not later than the 30th day aft</w:t>
      </w:r>
      <w:r>
        <w:rPr>
          <w:strike/>
        </w:rPr>
        <w:t xml:space="preserve">er the date the notice is received.</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If a municipality fails to grant or deny a permit application in the time required by Subsection (c) or by an agreement under Subsection (b)(2)[</w:t>
      </w:r>
      <w:r>
        <w:rPr>
          <w:strike/>
        </w:rPr>
        <w:t xml:space="preserve">(3)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