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2023S0095-1  02/06/23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2536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280 to read as follows:</w:t>
      </w:r>
    </w:p>
    <w:p w:rsidR="003F3435" w:rsidRDefault="0032493E">
      <w:pPr>
        <w:spacing w:line="480" w:lineRule="auto"/>
        <w:jc w:val="center"/>
      </w:pPr>
      <w:r>
        <w:rPr>
          <w:u w:val="single"/>
        </w:rPr>
        <w:t xml:space="preserve">CHAPTER 280.  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  (a)  A person described by Subsection (f) may issue a written request to the county clerk or other authority conducting an election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results in a precinct or at a polling place or early voting polling place;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irregularity of reconciliation results identified in reconciliation reports regarding voters and votes cast.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the county clerk or other authority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 or other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or other authority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or state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  (a)</w:t>
      </w:r>
      <w:r>
        <w:rPr>
          <w:u w:val="single"/>
        </w:rPr>
        <w:t xml:space="preserve"> </w:t>
      </w:r>
      <w:r>
        <w:rPr>
          <w:u w:val="single"/>
        </w:rPr>
        <w:t xml:space="preserve"> </w:t>
      </w:r>
      <w:r>
        <w:rPr>
          <w:u w:val="single"/>
        </w:rPr>
        <w:t xml:space="preserve">A person to whom Section 280.001(e) applies may submit a request for an audit to the secretary of state for investigation.  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county clerk or other authority conducting the election under Sections 280.001(a)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and any supporting documentation provided by the county clerk or other authority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  If the information is insufficient, the secretary of state shall immediately begin an audit of the identified irregularity at the expense of the county or other authority conducting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or other authority conducting the election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 or other authority conducting the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in the secretary's discretion, make a determination that a violation of this code has occurred solely on the basis of evidence submitted under Subsection (a) without conducting an audit.  The secretary of state shall send notice of the determination to the person who submitted the request for the audit and to the county clerk or other authority conducting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following an audit, the secretary of state determines that a violation of this code has occurred, the secretary shall appoint a conservator to oversee elections in the county election precinct where the violation occurred. The conservator shall serve for two federal election cycles.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  (a)  In addition to the notice required under Section 280.002(d), the secretary of state shall provide special notice to the county clerk or other authority conducting an election detailing any violation of this code found by the secretary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or other authority conducting an election does not remedy a violation detailed in a notice under Subsection (a) by the 30th day after the date the clerk or other authority receives the notice, the secretary of state shall assess a civil penalty of $500 for each violation not remedied and, if possible, remedy the violation on behalf of the county clerk or other authority.  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or other authority, the secretary shall assess an additional penalty under Subsection (b) for each day the county clerk or other authority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or other authorities that conduct elections who have been assessed a civil penalty under Subsection (b).  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