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88R2678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2543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conviction integrity unit within the office of the attorney general.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402, Government Code, is amended by adding Section 402.0232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402.0232.</w:t>
      </w:r>
      <w:r>
        <w:rPr>
          <w:u w:val="single"/>
        </w:rPr>
        <w:t xml:space="preserve"> </w:t>
      </w:r>
      <w:r>
        <w:rPr>
          <w:u w:val="single"/>
        </w:rPr>
        <w:t xml:space="preserve"> </w:t>
      </w:r>
      <w:r>
        <w:rPr>
          <w:u w:val="single"/>
        </w:rPr>
        <w:t xml:space="preserve">CONVICTION INTEGRITY UNIT.  (a) </w:t>
      </w:r>
      <w:r>
        <w:rPr>
          <w:u w:val="single"/>
        </w:rPr>
        <w:t xml:space="preserve"> </w:t>
      </w:r>
      <w:r>
        <w:rPr>
          <w:u w:val="single"/>
        </w:rPr>
        <w:t xml:space="preserve">A conviction integrity unit is created within the office of the attorney general to review and make recommendations regarding criminal convictions made in district and county courts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requests submitted by any person for the review of a criminal conviction made in a district or county court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criteria for determining which convictions the unit will review;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review convictions to determine the existence and nature of errors made during the prosecution of the case and to ensure that the interest of justice has been served;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refer persons to a criminal defense attorney or an organization that may be able to provide representation to the convicted person in a postconviction proceeding;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make recommendations to the district attorney, criminal district attorney, or county attorney that prosecuted each case regarding the appropriate postconviction motions, writs, and other proceedings that the unit believes are necessary to ensure that the interest of justice is served;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requested by the district attorney, criminal district attorney, or county attorney that prosecuted the case, provide assistance in completing the recommended motions, writs, or other proceedings;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analyze and examine each case in which a final ruling is made by the court of criminal appeals on a writ of habeas corpus granted for actual innocence and each case in which a commutation of punishment or pardon is based on a claim of actual innocence to determine systemic issues within the criminal justice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form which a person may use to request the review of a criminal conviction made in a district or county court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form described by Subdivision (1) available on the attorney general's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criteria developed under Subsection (b)(2) must prioritize: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convictions in which the death penalty has been imposed;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convictions for which the convicted person is required to register for life as a sex offender under Chapter 62, Code of Criminal Procedure.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