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88R8089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physician graduates and the authority of an insured to select a physician graduate under the insured's health insurance policy;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 Occupations Code, is amended by adding Subchapter E to read as follows:</w:t>
      </w:r>
    </w:p>
    <w:p w:rsidR="003F3435" w:rsidRDefault="0032493E">
      <w:pPr>
        <w:spacing w:line="480" w:lineRule="auto"/>
        <w:jc w:val="center"/>
      </w:pPr>
      <w:r>
        <w:rPr>
          <w:u w:val="single"/>
        </w:rPr>
        <w:t xml:space="preserve">SUBCHAPTER E. PHYSICIAN GRADUATE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155.201.</w:t>
      </w:r>
      <w:r>
        <w:rPr>
          <w:u w:val="single"/>
        </w:rPr>
        <w:t xml:space="preserve"> </w:t>
      </w:r>
      <w:r>
        <w:rPr>
          <w:u w:val="single"/>
        </w:rPr>
        <w:t xml:space="preserve"> </w:t>
      </w:r>
      <w:r>
        <w:rPr>
          <w:u w:val="single"/>
        </w:rPr>
        <w:t xml:space="preserve">DEFINITION.  In this subchapter, "physician graduate" means an individual licensed under this subchapter to practice medicine under a supervising practice agreement as described by Section 155.205.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155.202.</w:t>
      </w:r>
      <w:r>
        <w:rPr>
          <w:u w:val="single"/>
        </w:rPr>
        <w:t xml:space="preserve"> </w:t>
      </w:r>
      <w:r>
        <w:rPr>
          <w:u w:val="single"/>
        </w:rPr>
        <w:t xml:space="preserve"> </w:t>
      </w:r>
      <w:r>
        <w:rPr>
          <w:u w:val="single"/>
        </w:rPr>
        <w:t xml:space="preserve">RULES.  The board shall adopt rules in accordance with this subchapter relating to the licensing and regulation of physician graduates,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and fees for the issuance, term, and renewal of a license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and requirements for the supervision of physician graduates;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necessary to ensure protection of the public, including disciplinary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155.203.</w:t>
      </w:r>
      <w:r>
        <w:rPr>
          <w:u w:val="single"/>
        </w:rPr>
        <w:t xml:space="preserve"> </w:t>
      </w:r>
      <w:r>
        <w:rPr>
          <w:u w:val="single"/>
        </w:rPr>
        <w:t xml:space="preserve"> </w:t>
      </w:r>
      <w:r>
        <w:rPr>
          <w:u w:val="single"/>
        </w:rPr>
        <w:t xml:space="preserve">LICENSE ISSUANCE.  On application, the board shall issue a license to practice medicine under this subchapter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or a legal permanent resident;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authorized under federal law to work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proficiency in the English language;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graduate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board-approved medical school or osteopathic medical school;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medical school located outside of the United States that is not approved by the board, if the applicant is licensed in good standing to practice medicine in another country;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passed the second component of the United States Medical Licensing Examination or the equivalent component of another board-approved licensing examination described by Section 155.0511;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enrolled in a board-approved postgraduate residency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meets any other requirement prescribed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155.204.</w:t>
      </w:r>
      <w:r>
        <w:rPr>
          <w:u w:val="single"/>
        </w:rPr>
        <w:t xml:space="preserve"> </w:t>
      </w:r>
      <w:r>
        <w:rPr>
          <w:u w:val="single"/>
        </w:rPr>
        <w:t xml:space="preserve"> </w:t>
      </w:r>
      <w:r>
        <w:rPr>
          <w:u w:val="single"/>
        </w:rPr>
        <w:t xml:space="preserve">FEES.  The amount of a fee for the issuance or renewal of a license under this subchapter may not exceed the amount of a fee for the issuance or renewal of a physician assistant license under Chapter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155.205.</w:t>
      </w:r>
      <w:r>
        <w:rPr>
          <w:u w:val="single"/>
        </w:rPr>
        <w:t xml:space="preserve"> </w:t>
      </w:r>
      <w:r>
        <w:rPr>
          <w:u w:val="single"/>
        </w:rPr>
        <w:t xml:space="preserve"> </w:t>
      </w:r>
      <w:r>
        <w:rPr>
          <w:u w:val="single"/>
        </w:rPr>
        <w:t xml:space="preserve">SUPERVISING PRACTICE AGREEMENT REQUIRED.  (a) A physician graduate shall enter into a supervising practice agreement with a physician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licensed under this subtitle;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currently subject to disciplinary action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who has not entered into a supervising practice agreement described by Subsection (a) may not practice or attempt to practice medicine.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155.206.</w:t>
      </w:r>
      <w:r>
        <w:rPr>
          <w:u w:val="single"/>
        </w:rPr>
        <w:t xml:space="preserve"> </w:t>
      </w:r>
      <w:r>
        <w:rPr>
          <w:u w:val="single"/>
        </w:rPr>
        <w:t xml:space="preserve"> </w:t>
      </w:r>
      <w:r>
        <w:rPr>
          <w:u w:val="single"/>
        </w:rPr>
        <w:t xml:space="preserve">LIMITED PRACTICE BY LICENSE HOLDER.  A physician graduate license holder may provide only primary care services, as defined by board rule, under supervision in accordance with the supervising practice agreement described by Section 155.205.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155.207.</w:t>
      </w:r>
      <w:r>
        <w:rPr>
          <w:u w:val="single"/>
        </w:rPr>
        <w:t xml:space="preserve"> </w:t>
      </w:r>
      <w:r>
        <w:rPr>
          <w:u w:val="single"/>
        </w:rPr>
        <w:t xml:space="preserve"> </w:t>
      </w:r>
      <w:r>
        <w:rPr>
          <w:u w:val="single"/>
        </w:rPr>
        <w:t xml:space="preserve">LIABILITY OF SUPERVISING PHYSICIAN.  A physician who enters into a supervising practice agreement with a physician graduate under Section 155.205 is responsible at all times for the oversight of and is liable for any medical act performed by the physician graduate in the provision of primary care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155.208.</w:t>
      </w:r>
      <w:r>
        <w:rPr>
          <w:u w:val="single"/>
        </w:rPr>
        <w:t xml:space="preserve"> </w:t>
      </w:r>
      <w:r>
        <w:rPr>
          <w:u w:val="single"/>
        </w:rPr>
        <w:t xml:space="preserve"> </w:t>
      </w:r>
      <w:r>
        <w:rPr>
          <w:u w:val="single"/>
        </w:rPr>
        <w:t xml:space="preserve">IDENTIFICATION REQUIREMENTS; USE OF TITLE.  (a)  The holder of a license issued under this subchapter shall at all times while practicing as a physician graduate display a personal identification document identifying the license holder as a physician graduate.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may use the following titles or abbreviations: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 or "doc."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155.209.</w:t>
      </w:r>
      <w:r>
        <w:rPr>
          <w:u w:val="single"/>
        </w:rPr>
        <w:t xml:space="preserve"> </w:t>
      </w:r>
      <w:r>
        <w:rPr>
          <w:u w:val="single"/>
        </w:rPr>
        <w:t xml:space="preserve"> </w:t>
      </w:r>
      <w:r>
        <w:rPr>
          <w:u w:val="single"/>
        </w:rPr>
        <w:t xml:space="preserve">STATUS AS GENERAL PRACTITIONER.  A physician graduate license holder is considered a general practitioner for purposes of regulations of the federal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155.210.</w:t>
      </w:r>
      <w:r>
        <w:rPr>
          <w:u w:val="single"/>
        </w:rPr>
        <w:t xml:space="preserve"> </w:t>
      </w:r>
      <w:r>
        <w:rPr>
          <w:u w:val="single"/>
        </w:rPr>
        <w:t xml:space="preserve"> </w:t>
      </w:r>
      <w:r>
        <w:rPr>
          <w:u w:val="single"/>
        </w:rPr>
        <w:t xml:space="preserve">LICENSE RENEWAL.  The board may not renew a license issued under this subchapter unless the board verifies that the license holder has practiced in accordance with this subchapter under a supervising practice agreement described by Section 155.205 in the license term preceding the application for renewal.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155.211.</w:t>
      </w:r>
      <w:r>
        <w:rPr>
          <w:u w:val="single"/>
        </w:rPr>
        <w:t xml:space="preserve"> </w:t>
      </w:r>
      <w:r>
        <w:rPr>
          <w:u w:val="single"/>
        </w:rPr>
        <w:t xml:space="preserve"> </w:t>
      </w:r>
      <w:r>
        <w:rPr>
          <w:u w:val="single"/>
        </w:rPr>
        <w:t xml:space="preserve">DENIAL, SUSPENSION, OR REVOCATION OF LICENSE.  The board may deny an application for licensure or suspend or revoke a license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any ground provided by Chapter 164 or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Chapter 164.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1451.001, Insurance Code, is amended by adding Subdivision (16-a) to read as follows:</w:t>
      </w:r>
    </w:p>
    <w:p w:rsidR="003F3435" w:rsidRDefault="0032493E">
      <w:pPr>
        <w:spacing w:line="480" w:lineRule="auto"/>
        <w:ind w:firstLine="1440"/>
        <w:jc w:val="both"/>
      </w:pPr>
      <w:r>
        <w:rPr>
          <w:u w:val="single"/>
        </w:rPr>
        <w:t xml:space="preserve">(16-a)  "Physician graduate" means an individual licensed under Subchapter E, Chapter 155, Occupations Code, to practice medicine under a supervising practice agreement as described by Section 155.205,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1451, Insurance Code, is amended by adding Section 1451.129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1451.129.</w:t>
      </w:r>
      <w:r>
        <w:rPr>
          <w:u w:val="single"/>
        </w:rPr>
        <w:t xml:space="preserve"> </w:t>
      </w:r>
      <w:r>
        <w:rPr>
          <w:u w:val="single"/>
        </w:rPr>
        <w:t xml:space="preserve"> </w:t>
      </w:r>
      <w:r>
        <w:rPr>
          <w:u w:val="single"/>
        </w:rPr>
        <w:t xml:space="preserve">SELECTION OF PHYSICIAN GRADUATE.  An insured may select a physician graduate to provide the services scheduled in the health insurance policy that are within the scope of the physician graduate's license under Subchapter E, Chapter 155,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2023, the Texas Medical Board shall adopt rules as necessary to implement Subchapter E, Chapter 155,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1451.129, Insurance Code, as added by this Act, applies only to a health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