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Tepper</w:t>
      </w:r>
      <w:r xml:space="preserve">
        <w:tab wTab="150" tlc="none" cTlc="0"/>
      </w:r>
      <w:r>
        <w:t xml:space="preserve">H.B.</w:t>
      </w:r>
      <w:r xml:space="preserve">
        <w:t> </w:t>
      </w:r>
      <w:r>
        <w:t xml:space="preserve">No.</w:t>
      </w:r>
      <w:r xml:space="preserve">
        <w:t> </w:t>
      </w:r>
      <w:r>
        <w:t xml:space="preserve">2561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municipal disannexation of areas annexed during a certain period of time.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G, Chapter 43, Local Government Code, is amended by adding Section 43.1463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43.1463.</w:t>
      </w:r>
      <w:r>
        <w:rPr>
          <w:u w:val="single"/>
        </w:rPr>
        <w:t xml:space="preserve"> </w:t>
      </w:r>
      <w:r>
        <w:rPr>
          <w:u w:val="single"/>
        </w:rPr>
        <w:t xml:space="preserve"> </w:t>
      </w:r>
      <w:r>
        <w:rPr>
          <w:u w:val="single"/>
        </w:rPr>
        <w:t xml:space="preserve">DISANNEXATION OF AREAS ANNEXED DURING TRANSITION FROM NONCONSENT TO CONSENT ANNEXATION MODEL.  (a)  This section applies only to an area for which annexation was finalized between March 3, 2015, and May 24, 2019.</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November 7, 2023, a municipality shall hold an election in an area described by Subsection (a) on the question of disannexing the area from the municipality. </w:t>
      </w:r>
      <w:r>
        <w:rPr>
          <w:u w:val="single"/>
        </w:rPr>
        <w:t xml:space="preserve"> </w:t>
      </w:r>
      <w:r>
        <w:rPr>
          <w:u w:val="single"/>
        </w:rPr>
        <w:t xml:space="preserve">The municipality: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use public money on promotional campaigns or advocacy related to the election;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ensure that the ballot proposition for the election: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describes the area to be disannexed;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identifies the area by the commonly used name of the area, if applicable;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identifies the entities that will provide law enforcement, fire, and emergency services after disannexation;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describes the effect of disannexation on ad valorem taxes and fees in the area;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describes the effect of disannexation on special districts located in the area.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municipality shall disannex an area described by Subsection (a), including residential and commercial property in the area, if the voters approve the disannexation in the election held under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municipality shall retain ownership of any infrastructure, including a water treatment and storage facility, transferred to the municipality from a special district as part of the annexation of an area disannexed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After an area is disannexed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special district located in and serving the area may be dissolved only if the members of the governing body of the district elect to dissolve the district after the disannexation;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emergency services district located in or adjacent to the area shall provide services to the area.</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disannexation under this section does not authorize the impairment of a municipal debt obligation and, to the extent applicable, the area is not released from its pro rata share of that indebtedness.  The municipality shall continue to impose a property tax each year on the property in the area at the same rate that is imposed on other property in the municipality until the taxes collected from the area equal its pro rata share of the indebtedness.  Those taxes may be charged only with the cost of imposing and collecting the taxes, and the taxes shall be applied exclusively to the payment of the pro rata share of the indebtedness.  This subsection does not prevent the inhabitants of the area from paying in full at any time their pro rata share of the indebtedness.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