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88R12014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coverage for low-THC cannabis under certain group benefit plans for governmental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1551, Insurance Code, is amended by adding Section 1551.231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1551.231.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COVERAGE FOR LOW-THC CANNABIS.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offered under the group benefits program must provide coverage for low-THC cannabis prescribed to a participant under Chapter 169,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1575, Insurance Code, is amended by adding Section 1575.174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1575.174.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COVERAGE FOR LOW-THC CANNABIS. </w:t>
      </w:r>
      <w:r>
        <w:rPr>
          <w:u w:val="single"/>
        </w:rPr>
        <w:t xml:space="preserve"> </w:t>
      </w:r>
      <w:r>
        <w:rPr>
          <w:u w:val="single"/>
        </w:rPr>
        <w:t xml:space="preserve">A health benefit plan offered under the group program, other than a Medicare Advantage plan or a Medicare prescription drug plan, must provide coverage for low-THC cannabis prescribed to an enrollee under Chapter 169,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1579, Insurance Code, is amended by adding Section 1579.112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1579.112.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COVERAGE FOR LOW-THC CANNABIS. </w:t>
      </w:r>
      <w:r>
        <w:rPr>
          <w:u w:val="single"/>
        </w:rPr>
        <w:t xml:space="preserve"> </w:t>
      </w:r>
      <w:r>
        <w:rPr>
          <w:u w:val="single"/>
        </w:rPr>
        <w:t xml:space="preserve">A health coverage plan provided under this chapter must provide coverage for low-THC cannabis prescribed to an enrollee under Chapter 169,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plan year that commences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