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88R10493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disparities in the provision of certain health care services to Asian Americans and Pacific Islanders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 </w:t>
      </w:r>
      <w:r>
        <w:t xml:space="preserve"> </w:t>
      </w:r>
      <w:r>
        <w:t xml:space="preserve">(a) </w:t>
      </w:r>
      <w:r>
        <w:t xml:space="preserve"> </w:t>
      </w:r>
      <w:r>
        <w:t xml:space="preserve">In this Act, "commission" means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collaboration with nonprofit organizations with experience providing health care resources or services to Asian Americans and Pacific Islanders, shall conduct a study on the disparities in health care services provided to Asian Americans and Pacific Islanders, including disparities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provision of mental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provision of reproductive health care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provision of health care services due to violence against an individual based on the individual's actual or perceived sexual orientation, gender identity, or gender expression;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provision of health care services due to gender-based violence;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provision of gender-affirming health care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availability of language interpreters in health care settings.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solicit and consider information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Center for Elimination of Disproportionality and Disparities;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Education Agency;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other state agencies, political subdivisions, or nonprofit organizations as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ensure the information collected under Subsection (c) of this section does not personally identify a patient and must disaggregate the data by ethnicity.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 later than December 1, 2024, the commission shall prepare and submit to the legislature a written report containing the results of the study and any recommendations for legislative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