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88R9336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2569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of planned and unplanned service interruptions provided to ERCOT by certain electric generation service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35, Utilities Code, is amended by adding Section 35.0022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35.0022.</w:t>
      </w:r>
      <w:r>
        <w:rPr>
          <w:u w:val="single"/>
        </w:rPr>
        <w:t xml:space="preserve"> </w:t>
      </w:r>
      <w:r>
        <w:rPr>
          <w:u w:val="single"/>
        </w:rPr>
        <w:t xml:space="preserve"> </w:t>
      </w:r>
      <w:r>
        <w:rPr>
          <w:u w:val="single"/>
        </w:rPr>
        <w:t xml:space="preserve">SERVICE INTERRUPTION NOTIFICATIONS.  (a) </w:t>
      </w:r>
      <w:r>
        <w:rPr>
          <w:u w:val="single"/>
        </w:rPr>
        <w:t xml:space="preserve"> </w:t>
      </w:r>
      <w:r>
        <w:rPr>
          <w:u w:val="single"/>
        </w:rPr>
        <w:t xml:space="preserve">This section applies only to a provider of electric generation service described by Section 35.0021(a).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provider of electric generation service shall provide to the independent organization certified under Section 39.151 for the ERCOT power region notice of each planned or unplanned service interruption not later than 48 hours after the interruption of the service has impacted generation availability.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described by Subsection (b) may be provided in any reasonable manner, including by e-mail or an electronic interface on the provider's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