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accredited by a regional accrediting body </w:t>
      </w:r>
      <w:r>
        <w:rPr>
          <w:u w:val="single"/>
        </w:rPr>
        <w:t xml:space="preserve">and working in partnership with an entity described by Paragraph (A)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2575 was passed by the House on April 20, 2023, by the following vote:</w:t>
      </w:r>
      <w:r xml:space="preserve">
        <w:t> </w:t>
      </w:r>
      <w:r xml:space="preserve">
        <w:t> </w:t>
      </w:r>
      <w:r>
        <w:t xml:space="preserve">Yeas 115, Nays 31,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2575 was passed by the Senate on May 9, 2023, by the following vote:</w:t>
      </w:r>
      <w:r xml:space="preserve">
        <w:t> </w:t>
      </w:r>
      <w:r xml:space="preserve">
        <w:t> </w:t>
      </w:r>
      <w:r>
        <w:t xml:space="preserve">Yeas 27, Nays 4.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