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88R10986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2577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offense of indecent exposure;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21.08, Penal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w:t>
      </w:r>
      <w:r>
        <w:rPr>
          <w:u w:val="single"/>
        </w:rPr>
        <w:t xml:space="preserve">A</w:t>
      </w:r>
      <w:r>
        <w:t xml:space="preserve"> </w:t>
      </w:r>
      <w:r>
        <w:t xml:space="preserve">[</w:t>
      </w:r>
      <w:r>
        <w:rPr>
          <w:strike/>
        </w:rPr>
        <w:t xml:space="preserve">B</w:t>
      </w:r>
      <w:r>
        <w:t xml:space="preserve">] misdemeanor</w:t>
      </w:r>
      <w:r>
        <w:rPr>
          <w:u w:val="single"/>
        </w:rPr>
        <w:t xml:space="preserve">, except that the offense is a state jail felony if it is shown on the trial of the offense that the defendant has been previously convicted of an offense under this section</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defendant has been previously convicted under this section if the defendant was adjudged guilty of the offense or entered a plea of guilty or nolo contendere in return for a grant of deferred adjudication community supervision, regardless of whether a sentence for the offense was ever imposed on conviction or whether the defendant successfully completed a period of supervision in relation to the offense;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conviction under the laws of another state for an offense containing elements that are substantially similar to the elements of an offense under this section is a conviction of an offense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