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88R2139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2581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allocation of child care expenses for a child subject to a child support order.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154.008, Family Code, is amended to read as follows:</w:t>
      </w:r>
    </w:p>
    <w:p w:rsidR="003F3435" w:rsidRDefault="0032493E">
      <w:pPr>
        <w:spacing w:line="480" w:lineRule="auto"/>
        <w:ind w:firstLine="720"/>
        <w:jc w:val="both"/>
      </w:pPr>
      <w:r>
        <w:t xml:space="preserve">Sec.</w:t>
      </w:r>
      <w:r xml:space="preserve">
        <w:t> </w:t>
      </w:r>
      <w:r>
        <w:t xml:space="preserve">154.008.</w:t>
      </w:r>
      <w:r xml:space="preserve">
        <w:t> </w:t>
      </w:r>
      <w:r xml:space="preserve">
        <w:t> </w:t>
      </w:r>
      <w:r>
        <w:t xml:space="preserve">PROVISION FOR MEDICAL SUPPORT</w:t>
      </w:r>
      <w:r>
        <w:rPr>
          <w:u w:val="single"/>
        </w:rPr>
        <w:t xml:space="preserve">,</w:t>
      </w:r>
      <w:r>
        <w:t xml:space="preserve"> [</w:t>
      </w:r>
      <w:r>
        <w:rPr>
          <w:strike/>
        </w:rPr>
        <w:t xml:space="preserve">AND</w:t>
      </w:r>
      <w:r>
        <w:t xml:space="preserve">] DENTAL SUPPORT</w:t>
      </w:r>
      <w:r>
        <w:rPr>
          <w:u w:val="single"/>
        </w:rPr>
        <w:t xml:space="preserve">, AND CHILD CARE SUPPORT</w:t>
      </w:r>
      <w:r>
        <w:t xml:space="preserve">.</w:t>
      </w:r>
      <w:r xml:space="preserve">
        <w:t> </w:t>
      </w:r>
      <w:r xml:space="preserve">
        <w:t> </w:t>
      </w:r>
      <w:r>
        <w:rPr>
          <w:u w:val="single"/>
        </w:rPr>
        <w:t xml:space="preserve">(a)</w:t>
      </w:r>
      <w:r>
        <w:t xml:space="preserve"> The court shall order medical support and dental support for the child as provided by Subchapters B and 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party incurs child care expenses in order to seek or maintain gainful employment, or receive higher education or vocational training in anticipation of gainful employment, the court shall determine and allocate between the parties, according to the parties' circumstances, reasonable child care expenses.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constitutes a material and substantial change of circumstances under Section 156.401, Family Code, sufficient to warrant modification of a court order or a portion of a decree that provides for the support of a child rendered before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proceeding to establish or modify a child support obligation that is pending in a trial court on or filed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