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88R1946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2583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of child support guidelines to net resources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154.125(a), Family Code, is amended to read as follows:</w:t>
      </w:r>
    </w:p>
    <w:p w:rsidR="003F3435" w:rsidRDefault="0032493E">
      <w:pPr>
        <w:spacing w:line="480" w:lineRule="auto"/>
        <w:ind w:firstLine="720"/>
        <w:jc w:val="both"/>
      </w:pPr>
      <w:r>
        <w:t xml:space="preserve">(a)</w:t>
      </w:r>
      <w:r xml:space="preserve">
        <w:t> </w:t>
      </w:r>
      <w:r xml:space="preserve">
        <w:t> </w:t>
      </w:r>
      <w:r>
        <w:t xml:space="preserve">The guidelines for the support of a child in this section are specifically designed to apply to situations in which the obligor's monthly net resources are not greater than </w:t>
      </w:r>
      <w:r>
        <w:rPr>
          <w:u w:val="single"/>
        </w:rPr>
        <w:t xml:space="preserve">$30,000</w:t>
      </w:r>
      <w:r>
        <w:t xml:space="preserve"> [</w:t>
      </w:r>
      <w:r>
        <w:rPr>
          <w:strike/>
        </w:rPr>
        <w:t xml:space="preserve">the maximum amount of net resources to which the statutory guidelines are applicable, as most recently published by the Title IV-D agency in the Texas Register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154.125(a-1), Family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154.125, Family Code, applies only to a suit affecting the parent-child relationship that is filed on or after the effective date of this Act.  A suit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