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88R3231 KBB-D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Paul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2584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indemnification and duties of real property appraisers under certain governmental contracts.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271, Local Government Code, is amended by adding Section 271.9041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271.9041.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APPRAISAL SERVICE CONTRACTS; INDEMNIFICATION LIMITATIONS; DUTIES OF APPRAISER. (a) In this section, "governmental agency" has the meaning assigned by Section 271.003.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contract for appraisal services for real property entered into by a licensed appraiser and a governmental agency.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provision of a contract for appraisal services, or a promise in connection with the contract, is void and unenforceable if the provision requires a licensed appraiser to indemnify or hold harmless a governmental agency against liability for damage, other than damage to the extent the damage is caused by or results from an act of: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negligence;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intentional tort;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intellectual property infringement;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failure to pay: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subcontractor or supplier committed by the appraiser or the appraiser's agent;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consultant under contract;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another person over which the appraiser exercises control.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Except as provided by Subsection (e)(2), a provision of a contract for appraisal services, or a promise in connection with the contract, is void and unenforceable if the provision requires a licensed appraiser to defend a person against a claim based wholly or partly on the negligence or fault of, or breach of contract by: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governmental agency that is a party to the contract;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employee or agent of the governmental agency; or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another person over which the governmental agency exercises control, other than the appraiser or an employee, agent, or consultant of the appraiser.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contract for appraisal services may require: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reimbursement of a governmental agency's reasonable attorney's fees in proportion to an appraiser's liability;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appraiser to name a governmental agency as an additional insured under the appraiser's general liability insurance policy and provide any defense provided by the policy.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contract for appraisal services must require a licensed appraiser to perform services: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with the professional skill and care ordinarily provided by competent appraisers under the same or similar circumstances and professional license;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as expeditiously as is prudent considering the ordinary professional skill and care of a competent appraiser.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(g)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provision of a contract for appraisal services establishing a different standard of care than a standard described by Subsection (f) is void and unenforceable. If a contract contains a void and unenforceable provision described by this subsection, the standard of care described by Subsection (f) applies.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(h)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does not prohibit a governmental agency from including in and enforcing a provision in a contract for appraisal services that relates to the scope, fees, and schedule of a project in the contract.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271.9041, Local Government Code, as added by this Act, applies only to a contract for appraisal services for which a request for proposals or a request for qualifications is first published or distributed on or after the effective date of this</w:t>
      </w:r>
      <w:r xml:space="preserve">
        <w:t> </w:t>
      </w:r>
      <w:r>
        <w:t xml:space="preserve">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2584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