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88R13937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voter registration of students enrolled 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VOTER REGISTRATION THROUGH INSTITUTIONS OF HIGHER EDUCATION.  (a) </w:t>
      </w:r>
      <w:r>
        <w:rPr>
          <w:u w:val="single"/>
        </w:rPr>
        <w:t xml:space="preserve"> </w:t>
      </w:r>
      <w:r>
        <w:rPr>
          <w:u w:val="single"/>
        </w:rPr>
        <w:t xml:space="preserve">The voter registrar of each county shall automatically register any county resident who is eligible to vote as provided by Section 13.001 and is enrolled in an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student's application for enrollment in an institution of higher education with an indication provided by Section 20.133(b) that the enrollment is not for voter registration purposes is not subject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adopt rules and prescribe procedures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20.001,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institution of higher education, as defined by Section 61.003, Education Code, is designated as a voter registration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 Election Code, is amended by adding Subchapter F to read as follows:</w:t>
      </w:r>
    </w:p>
    <w:p w:rsidR="003F3435" w:rsidRDefault="0032493E">
      <w:pPr>
        <w:spacing w:line="480" w:lineRule="auto"/>
        <w:jc w:val="center"/>
      </w:pPr>
      <w:r>
        <w:rPr>
          <w:u w:val="single"/>
        </w:rPr>
        <w:t xml:space="preserve">SUBCHAPTER F.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20.132.</w:t>
      </w:r>
      <w:r>
        <w:rPr>
          <w:u w:val="single"/>
        </w:rPr>
        <w:t xml:space="preserve"> </w:t>
      </w:r>
      <w:r>
        <w:rPr>
          <w:u w:val="single"/>
        </w:rPr>
        <w:t xml:space="preserve"> </w:t>
      </w:r>
      <w:r>
        <w:rPr>
          <w:u w:val="single"/>
        </w:rPr>
        <w:t xml:space="preserve">APPLICABILITY OF OTHER PROVISIONS.  The other provisions of this chapter apply to an institution of higher education except provisions that conflict with this subchapter or Section 13.009.</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20.133.</w:t>
      </w:r>
      <w:r>
        <w:rPr>
          <w:u w:val="single"/>
        </w:rPr>
        <w:t xml:space="preserve"> </w:t>
      </w:r>
      <w:r>
        <w:rPr>
          <w:u w:val="single"/>
        </w:rPr>
        <w:t xml:space="preserve"> </w:t>
      </w:r>
      <w:r>
        <w:rPr>
          <w:u w:val="single"/>
        </w:rPr>
        <w:t xml:space="preserve">REGISTRATION PROCEDURES.  (a)  An institution of higher education shall consider each person of voting age who enrolls at the institution an applicant for voter registration, except as otherwise indicated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shall prescribe and use a form and procedure that combines the institution's application for enrollment with an officially prescribed voter registration application form. </w:t>
      </w:r>
      <w:r>
        <w:rPr>
          <w:u w:val="single"/>
        </w:rPr>
        <w:t xml:space="preserve"> </w:t>
      </w:r>
      <w:r>
        <w:rPr>
          <w:u w:val="single"/>
        </w:rPr>
        <w:t xml:space="preserve">The form and procedure must include the option for an applicant to provide an appropriate address at the time of enrollment in the institution. </w:t>
      </w:r>
      <w:r>
        <w:rPr>
          <w:u w:val="single"/>
        </w:rPr>
        <w:t xml:space="preserve"> </w:t>
      </w:r>
      <w:r>
        <w:rPr>
          <w:u w:val="single"/>
        </w:rPr>
        <w:t xml:space="preserve">The form must allow an applicant to indicate that the applicant does not wish the applicant's enrollment to be used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 content, and physical characteristics of the institution's forms must be approved by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20.134.</w:t>
      </w:r>
      <w:r>
        <w:rPr>
          <w:u w:val="single"/>
        </w:rPr>
        <w:t xml:space="preserve"> </w:t>
      </w:r>
      <w:r>
        <w:rPr>
          <w:u w:val="single"/>
        </w:rPr>
        <w:t xml:space="preserve"> </w:t>
      </w:r>
      <w:r>
        <w:rPr>
          <w:u w:val="single"/>
        </w:rPr>
        <w:t xml:space="preserve">RULES.  The secretary of state shall prescribe additional procedures as necessary to implement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