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88R19361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2586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in reemployment services as a condition of eligibility for unemployment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207.021(a),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215,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208.001;</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and</w:t>
      </w:r>
    </w:p>
    <w:p w:rsidR="003F3435" w:rsidRDefault="0032493E">
      <w:pPr>
        <w:spacing w:line="480" w:lineRule="auto"/>
        <w:ind w:firstLine="1440"/>
        <w:jc w:val="both"/>
      </w:pPr>
      <w:r>
        <w:t xml:space="preserve">(9)</w:t>
      </w:r>
      <w:r xml:space="preserve">
        <w:t> </w:t>
      </w:r>
      <w:r xml:space="preserve">
        <w:t> </w:t>
      </w:r>
      <w:r>
        <w:rPr>
          <w:u w:val="single"/>
        </w:rPr>
        <w:t xml:space="preserve">if required by the commission,</w:t>
      </w:r>
      <w:r>
        <w:t xml:space="preserve"> </w:t>
      </w:r>
      <w:r>
        <w:t xml:space="preserve">participates in reemployment services, such as a job search assistance service[</w:t>
      </w:r>
      <w:r>
        <w:rPr>
          <w:strike/>
        </w:rPr>
        <w:t xml:space="preserve">, if the individual has been determined, according to a profiling system established by the commission, to be likely to exhaust eligibility for regular benefits and to need those services to obtain new employment</w:t>
      </w:r>
      <w:r>
        <w:t xml:space="preserve">], unless[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individual has completed participation in such a service;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there is reasonable cause, as determined by the commission, for the individual's failure to participate in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207.021(a), Labor Code, as amended by this Act, applies only to a claim for unemployment compensation benefits that is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