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88R9953 MPF-D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Rosenthal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2595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advertisement of disposable wipes as flushable; providing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5, Health and Safety Code, is amended by adding Chapter 375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375.  DISPOSABLE WIPES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375.001.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"Covered entity" means a manufacturer of a disposable wipe and a wholesaler, supplier, or retailer of a disposable wipe.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"Disposable wipe" means a single-use, premoistened wipe designed or marketed for diapering, personal hygiene, or other cleaning purposes.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375.002.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PROHIBITED ADVERTISEMENT OF DISPOSABLE WIPE AS FLUSHABLE.  A covered entity may not advertise, label, or otherwise communicate that a disposable wipe may be disposed of in a toilet, including by communicating that the disposable wipe is "flushable," "sewer safe," or "septic safe," unless the disposable wipe disintegrates or dissolves immediately in water.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375.003.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PENALTY.  (a)  A covered entity that violates Section 375.002 is liable for a civil penalty in an amount equal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$1,000 for the first violation;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less than $1,000 or more than $5,000 for the second violation;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less than $5,000 or more than $10,000 for the third violation.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file suit in district court to recover a civil penalty imposed under this section against a covered entity that violates Section 375.002.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civil penalty collected under this section shall be deposited in the general revenue fund.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recover reasonable expenses incurred in collecting the civil penalty, including court costs, reasonable attorney's fees, investigative costs, witness fees, and deposition costs.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375.004.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INJUNCTIVE RELIEF.  (a)  The attorney general may bring an action in district court to enjoin a covered entity from selling disposable wipes if the covered entity violates Section 375.002 after a civil penalty has been assessed against the covered entity under Section 375.003 for a third violation of Section 375.002.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attorney general may recover reasonable expenses incurred in obtaining relief under this section, including court costs, reasonable attorney's fees, investigative costs, witness fees, and deposition costs.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2595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