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88R12365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2597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t xml:space="preserve">10 percent of the appraised value of the property for the preceding tax year;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w:t>
      </w:r>
      <w:r>
        <w:rPr>
          <w:strike/>
        </w:rPr>
        <w:t xml:space="preserv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market value of all new improvements to the property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23.23(e), (f), and (g), Tax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the appraisal for ad valorem tax purposes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